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8BEA"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79A867F1" wp14:editId="4CA8745F">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95671" w14:textId="77777777" w:rsidR="000E1BC8" w:rsidRPr="000E1BC8" w:rsidRDefault="000E1BC8" w:rsidP="000E1BC8">
      <w:pPr>
        <w:rPr>
          <w:i/>
          <w:sz w:val="28"/>
          <w:szCs w:val="28"/>
        </w:rPr>
      </w:pPr>
    </w:p>
    <w:p w14:paraId="5615FD00"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5854909" wp14:editId="154FC706">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9">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497BB93" w14:textId="77777777" w:rsidR="000E1BC8" w:rsidRDefault="000E1BC8" w:rsidP="001112D9">
      <w:pPr>
        <w:pBdr>
          <w:bottom w:val="single" w:sz="6" w:space="1" w:color="auto"/>
        </w:pBdr>
        <w:jc w:val="center"/>
        <w:rPr>
          <w:rFonts w:ascii="Arial Narrow" w:hAnsi="Arial Narrow"/>
          <w:b/>
        </w:rPr>
      </w:pPr>
    </w:p>
    <w:p w14:paraId="6C03B052" w14:textId="77777777" w:rsidR="00CA02F3" w:rsidRPr="00CA02F3" w:rsidRDefault="00CA02F3" w:rsidP="001112D9">
      <w:pPr>
        <w:pBdr>
          <w:bottom w:val="single" w:sz="6" w:space="1" w:color="auto"/>
        </w:pBdr>
        <w:jc w:val="center"/>
        <w:rPr>
          <w:rFonts w:ascii="Arial Narrow" w:hAnsi="Arial Narrow"/>
          <w:b/>
          <w:sz w:val="12"/>
          <w:szCs w:val="12"/>
        </w:rPr>
      </w:pPr>
    </w:p>
    <w:p w14:paraId="64902349" w14:textId="77777777" w:rsidR="000E1BC8" w:rsidRPr="001E3180" w:rsidRDefault="000E1BC8" w:rsidP="000E1BC8">
      <w:pPr>
        <w:rPr>
          <w:rFonts w:asciiTheme="majorHAnsi" w:hAnsiTheme="majorHAnsi"/>
          <w:b/>
          <w:sz w:val="16"/>
          <w:szCs w:val="16"/>
        </w:rPr>
      </w:pPr>
    </w:p>
    <w:p w14:paraId="08A69E22" w14:textId="744C1522" w:rsidR="00270711" w:rsidRDefault="00211476" w:rsidP="001F4E94">
      <w:pPr>
        <w:rPr>
          <w:rFonts w:asciiTheme="majorHAnsi" w:hAnsiTheme="majorHAnsi"/>
          <w:b/>
          <w:sz w:val="32"/>
          <w:szCs w:val="32"/>
        </w:rPr>
      </w:pPr>
      <w:r>
        <w:rPr>
          <w:rFonts w:asciiTheme="majorHAnsi" w:hAnsiTheme="majorHAnsi"/>
          <w:b/>
          <w:sz w:val="32"/>
          <w:szCs w:val="32"/>
        </w:rPr>
        <w:t>Weekly</w:t>
      </w:r>
      <w:r w:rsidR="001F4E94">
        <w:rPr>
          <w:rFonts w:asciiTheme="majorHAnsi" w:hAnsiTheme="majorHAnsi"/>
          <w:b/>
          <w:sz w:val="32"/>
          <w:szCs w:val="32"/>
        </w:rPr>
        <w:t xml:space="preserve"> COVID 19 </w:t>
      </w:r>
      <w:r w:rsidR="001F4E94" w:rsidRPr="00376F66">
        <w:rPr>
          <w:rFonts w:asciiTheme="majorHAnsi" w:hAnsiTheme="majorHAnsi"/>
          <w:b/>
          <w:sz w:val="32"/>
          <w:szCs w:val="32"/>
        </w:rPr>
        <w:t>Opportunities Update</w:t>
      </w:r>
      <w:r w:rsidR="001F4E94">
        <w:rPr>
          <w:rFonts w:asciiTheme="majorHAnsi" w:hAnsiTheme="majorHAnsi"/>
          <w:b/>
          <w:sz w:val="32"/>
          <w:szCs w:val="32"/>
        </w:rPr>
        <w:t xml:space="preserve"> </w:t>
      </w:r>
    </w:p>
    <w:p w14:paraId="083C2B01" w14:textId="77777777" w:rsidR="00211476" w:rsidRDefault="0082476D" w:rsidP="009E5221">
      <w:pPr>
        <w:rPr>
          <w:rFonts w:asciiTheme="majorHAnsi" w:hAnsiTheme="majorHAnsi"/>
          <w:b/>
          <w:sz w:val="32"/>
          <w:szCs w:val="32"/>
        </w:rPr>
      </w:pPr>
      <w:r>
        <w:rPr>
          <w:rFonts w:asciiTheme="majorHAnsi" w:hAnsiTheme="majorHAnsi"/>
          <w:b/>
          <w:sz w:val="32"/>
          <w:szCs w:val="32"/>
        </w:rPr>
        <w:t>New Opportunities</w:t>
      </w:r>
    </w:p>
    <w:p w14:paraId="4753E01F" w14:textId="2CC09BDD" w:rsidR="001F4E94" w:rsidRPr="009E5221" w:rsidRDefault="00685D1C" w:rsidP="009E5221">
      <w:pPr>
        <w:rPr>
          <w:rFonts w:asciiTheme="majorHAnsi" w:hAnsiTheme="majorHAnsi"/>
          <w:b/>
          <w:sz w:val="32"/>
          <w:szCs w:val="32"/>
        </w:rPr>
      </w:pPr>
      <w:r>
        <w:rPr>
          <w:rFonts w:asciiTheme="majorHAnsi" w:hAnsiTheme="majorHAnsi"/>
          <w:b/>
          <w:color w:val="0070C0"/>
          <w:sz w:val="32"/>
          <w:szCs w:val="32"/>
        </w:rPr>
        <w:t xml:space="preserve">August </w:t>
      </w:r>
      <w:r w:rsidR="000E3646">
        <w:rPr>
          <w:rFonts w:asciiTheme="majorHAnsi" w:hAnsiTheme="majorHAnsi"/>
          <w:b/>
          <w:color w:val="0070C0"/>
          <w:sz w:val="32"/>
          <w:szCs w:val="32"/>
        </w:rPr>
        <w:t>31</w:t>
      </w:r>
      <w:r w:rsidR="00C74375">
        <w:rPr>
          <w:rFonts w:asciiTheme="majorHAnsi" w:hAnsiTheme="majorHAnsi"/>
          <w:b/>
          <w:color w:val="0070C0"/>
          <w:sz w:val="32"/>
          <w:szCs w:val="32"/>
        </w:rPr>
        <w:t xml:space="preserve">, </w:t>
      </w:r>
      <w:r w:rsidR="001F4E94">
        <w:rPr>
          <w:rFonts w:asciiTheme="majorHAnsi" w:hAnsiTheme="majorHAnsi"/>
          <w:b/>
          <w:color w:val="0070C0"/>
          <w:sz w:val="32"/>
          <w:szCs w:val="32"/>
        </w:rPr>
        <w:t>2020</w:t>
      </w:r>
    </w:p>
    <w:p w14:paraId="77C9F055" w14:textId="77777777" w:rsidR="000E1BC8" w:rsidRPr="001E3180" w:rsidRDefault="000E1BC8" w:rsidP="000E1BC8">
      <w:pPr>
        <w:pBdr>
          <w:bottom w:val="single" w:sz="6" w:space="1" w:color="auto"/>
        </w:pBdr>
        <w:rPr>
          <w:rFonts w:asciiTheme="majorHAnsi" w:hAnsiTheme="majorHAnsi"/>
          <w:b/>
          <w:sz w:val="16"/>
          <w:szCs w:val="16"/>
        </w:rPr>
      </w:pPr>
    </w:p>
    <w:p w14:paraId="1915DC60" w14:textId="0E11069B" w:rsidR="000E1BC8" w:rsidRDefault="000E1BC8" w:rsidP="000E1BC8">
      <w:pPr>
        <w:rPr>
          <w:rFonts w:ascii="Arial Narrow" w:hAnsi="Arial Narrow"/>
          <w:b/>
          <w:sz w:val="32"/>
          <w:szCs w:val="32"/>
        </w:rPr>
      </w:pPr>
    </w:p>
    <w:p w14:paraId="6A6CC9CA" w14:textId="77777777" w:rsidR="00446323" w:rsidRPr="00975ACB" w:rsidRDefault="00446323" w:rsidP="00446323">
      <w:pPr>
        <w:jc w:val="center"/>
        <w:rPr>
          <w:rFonts w:asciiTheme="majorHAnsi" w:hAnsiTheme="majorHAnsi"/>
          <w:b/>
          <w:sz w:val="32"/>
          <w:szCs w:val="32"/>
          <w:u w:val="single"/>
        </w:rPr>
      </w:pPr>
      <w:r>
        <w:rPr>
          <w:rFonts w:asciiTheme="majorHAnsi" w:hAnsiTheme="majorHAnsi"/>
          <w:b/>
          <w:sz w:val="32"/>
          <w:szCs w:val="32"/>
          <w:u w:val="single"/>
        </w:rPr>
        <w:t>Table of Contents</w:t>
      </w:r>
    </w:p>
    <w:p w14:paraId="6B8327F6" w14:textId="599BAADF" w:rsidR="0020262B" w:rsidRDefault="0020262B" w:rsidP="0020262B">
      <w:pPr>
        <w:rPr>
          <w:rFonts w:asciiTheme="majorHAnsi" w:hAnsiTheme="majorHAnsi"/>
          <w:bCs/>
          <w:sz w:val="28"/>
          <w:szCs w:val="28"/>
          <w:u w:val="single"/>
        </w:rPr>
      </w:pPr>
    </w:p>
    <w:p w14:paraId="766CEF43" w14:textId="77777777" w:rsidR="001B1DFD" w:rsidRPr="001A5255" w:rsidRDefault="001B1DFD" w:rsidP="001B1DFD">
      <w:pPr>
        <w:jc w:val="center"/>
        <w:rPr>
          <w:rFonts w:asciiTheme="majorHAnsi" w:hAnsiTheme="majorHAnsi"/>
          <w:b/>
          <w:sz w:val="28"/>
          <w:szCs w:val="28"/>
          <w:u w:val="single"/>
        </w:rPr>
      </w:pPr>
      <w:r w:rsidRPr="001A5255">
        <w:rPr>
          <w:rFonts w:asciiTheme="majorHAnsi" w:hAnsiTheme="majorHAnsi"/>
          <w:b/>
          <w:sz w:val="28"/>
          <w:szCs w:val="28"/>
          <w:u w:val="single"/>
        </w:rPr>
        <w:t>Health Systems Capacity Building</w:t>
      </w:r>
      <w:r>
        <w:rPr>
          <w:rFonts w:asciiTheme="majorHAnsi" w:hAnsiTheme="majorHAnsi"/>
          <w:b/>
          <w:sz w:val="28"/>
          <w:szCs w:val="28"/>
          <w:u w:val="single"/>
        </w:rPr>
        <w:t xml:space="preserve"> (including public health, telemedicine and mental health)</w:t>
      </w:r>
    </w:p>
    <w:p w14:paraId="7F5DDA81" w14:textId="77777777" w:rsidR="00EE3886" w:rsidRDefault="00EE3886" w:rsidP="0011705C">
      <w:pPr>
        <w:rPr>
          <w:rFonts w:asciiTheme="majorHAnsi" w:hAnsiTheme="majorHAnsi"/>
          <w:sz w:val="28"/>
          <w:szCs w:val="28"/>
          <w:u w:val="single"/>
        </w:rPr>
      </w:pPr>
    </w:p>
    <w:p w14:paraId="21473BC2" w14:textId="26074138" w:rsidR="0011705C" w:rsidRPr="001A5255" w:rsidRDefault="0011705C" w:rsidP="0011705C">
      <w:pPr>
        <w:rPr>
          <w:rFonts w:asciiTheme="majorHAnsi" w:hAnsiTheme="majorHAnsi"/>
          <w:sz w:val="28"/>
          <w:szCs w:val="28"/>
          <w:u w:val="single"/>
        </w:rPr>
      </w:pPr>
      <w:r w:rsidRPr="001A5255">
        <w:rPr>
          <w:rFonts w:asciiTheme="majorHAnsi" w:hAnsiTheme="majorHAnsi"/>
          <w:sz w:val="28"/>
          <w:szCs w:val="28"/>
          <w:u w:val="single"/>
        </w:rPr>
        <w:t xml:space="preserve">Department of Health and Human Services </w:t>
      </w:r>
    </w:p>
    <w:p w14:paraId="44CC3FD1" w14:textId="77777777" w:rsidR="0011705C" w:rsidRDefault="0011705C" w:rsidP="0011705C">
      <w:pPr>
        <w:rPr>
          <w:rFonts w:asciiTheme="majorHAnsi" w:hAnsiTheme="majorHAnsi"/>
          <w:bCs/>
          <w:sz w:val="28"/>
          <w:szCs w:val="28"/>
        </w:rPr>
      </w:pPr>
      <w:r>
        <w:rPr>
          <w:rFonts w:asciiTheme="majorHAnsi" w:hAnsiTheme="majorHAnsi"/>
          <w:bCs/>
          <w:sz w:val="28"/>
          <w:szCs w:val="28"/>
        </w:rPr>
        <w:t>Centers for Disease Control and Prevention</w:t>
      </w:r>
    </w:p>
    <w:p w14:paraId="6AB9138F" w14:textId="77777777" w:rsidR="0011705C" w:rsidRPr="006E1E14" w:rsidRDefault="0011705C" w:rsidP="0011705C">
      <w:pPr>
        <w:pStyle w:val="ListParagraph"/>
        <w:numPr>
          <w:ilvl w:val="0"/>
          <w:numId w:val="31"/>
        </w:numPr>
        <w:rPr>
          <w:rFonts w:asciiTheme="majorHAnsi" w:hAnsiTheme="majorHAnsi"/>
          <w:bCs/>
          <w:sz w:val="28"/>
          <w:szCs w:val="28"/>
        </w:rPr>
      </w:pPr>
      <w:r w:rsidRPr="001634FD">
        <w:rPr>
          <w:rFonts w:asciiTheme="majorHAnsi" w:hAnsiTheme="majorHAnsi"/>
          <w:bCs/>
          <w:sz w:val="28"/>
          <w:szCs w:val="28"/>
        </w:rPr>
        <w:t>Strengthening the Nation's Public Health Communication Infrastructure to Respond to COVID-19</w:t>
      </w:r>
      <w:r>
        <w:rPr>
          <w:rFonts w:asciiTheme="majorHAnsi" w:hAnsiTheme="majorHAnsi"/>
          <w:bCs/>
          <w:sz w:val="28"/>
          <w:szCs w:val="28"/>
        </w:rPr>
        <w:t xml:space="preserve"> </w:t>
      </w:r>
    </w:p>
    <w:p w14:paraId="283467CB" w14:textId="77777777" w:rsidR="001B1DFD" w:rsidRDefault="001B1DFD" w:rsidP="0020262B">
      <w:pPr>
        <w:rPr>
          <w:rFonts w:asciiTheme="majorHAnsi" w:hAnsiTheme="majorHAnsi"/>
          <w:bCs/>
          <w:sz w:val="28"/>
          <w:szCs w:val="28"/>
          <w:u w:val="single"/>
        </w:rPr>
      </w:pPr>
    </w:p>
    <w:p w14:paraId="4D4AE5E2" w14:textId="1C4A3DFC" w:rsidR="00541FEE" w:rsidRDefault="00541FEE" w:rsidP="00541FEE">
      <w:pPr>
        <w:jc w:val="center"/>
        <w:rPr>
          <w:rFonts w:asciiTheme="majorHAnsi" w:hAnsiTheme="majorHAnsi"/>
          <w:b/>
          <w:sz w:val="28"/>
          <w:szCs w:val="28"/>
          <w:u w:val="single"/>
        </w:rPr>
      </w:pPr>
      <w:r w:rsidRPr="00541FEE">
        <w:rPr>
          <w:rFonts w:asciiTheme="majorHAnsi" w:hAnsiTheme="majorHAnsi"/>
          <w:b/>
          <w:sz w:val="28"/>
          <w:szCs w:val="28"/>
          <w:u w:val="single"/>
        </w:rPr>
        <w:t>Health Research Opportunities</w:t>
      </w:r>
    </w:p>
    <w:p w14:paraId="3D948857" w14:textId="77777777" w:rsidR="00284FCF" w:rsidRDefault="00284FCF" w:rsidP="00D35744">
      <w:pPr>
        <w:rPr>
          <w:rFonts w:asciiTheme="majorHAnsi" w:hAnsiTheme="majorHAnsi"/>
          <w:b/>
          <w:sz w:val="28"/>
          <w:szCs w:val="28"/>
          <w:u w:val="single"/>
        </w:rPr>
      </w:pPr>
    </w:p>
    <w:p w14:paraId="383D8B52" w14:textId="1026DA62" w:rsidR="00681748" w:rsidRPr="0011705C" w:rsidRDefault="00681748" w:rsidP="00D35744">
      <w:pPr>
        <w:rPr>
          <w:rFonts w:asciiTheme="majorHAnsi" w:hAnsiTheme="majorHAnsi"/>
          <w:bCs/>
          <w:sz w:val="28"/>
          <w:szCs w:val="28"/>
          <w:u w:val="single"/>
        </w:rPr>
      </w:pPr>
      <w:r w:rsidRPr="0011705C">
        <w:rPr>
          <w:rFonts w:asciiTheme="majorHAnsi" w:hAnsiTheme="majorHAnsi"/>
          <w:bCs/>
          <w:sz w:val="28"/>
          <w:szCs w:val="28"/>
          <w:u w:val="single"/>
        </w:rPr>
        <w:t xml:space="preserve">Department of Health and Human Services </w:t>
      </w:r>
    </w:p>
    <w:p w14:paraId="156DCABD" w14:textId="77777777" w:rsidR="00681748" w:rsidRPr="0011705C" w:rsidRDefault="00681748" w:rsidP="00D35744">
      <w:pPr>
        <w:rPr>
          <w:rFonts w:asciiTheme="majorHAnsi" w:hAnsiTheme="majorHAnsi"/>
          <w:bCs/>
          <w:sz w:val="28"/>
          <w:szCs w:val="28"/>
        </w:rPr>
      </w:pPr>
      <w:r w:rsidRPr="0011705C">
        <w:rPr>
          <w:rFonts w:asciiTheme="majorHAnsi" w:hAnsiTheme="majorHAnsi"/>
          <w:bCs/>
          <w:sz w:val="28"/>
          <w:szCs w:val="28"/>
        </w:rPr>
        <w:t xml:space="preserve">National Institutes of Health </w:t>
      </w:r>
    </w:p>
    <w:p w14:paraId="6738B992" w14:textId="5B2E3498" w:rsidR="00D35744" w:rsidRPr="0011705C" w:rsidRDefault="00681748" w:rsidP="00681748">
      <w:pPr>
        <w:pStyle w:val="ListParagraph"/>
        <w:numPr>
          <w:ilvl w:val="0"/>
          <w:numId w:val="30"/>
        </w:numPr>
        <w:rPr>
          <w:rFonts w:asciiTheme="majorHAnsi" w:hAnsiTheme="majorHAnsi"/>
          <w:bCs/>
          <w:sz w:val="28"/>
          <w:szCs w:val="28"/>
        </w:rPr>
      </w:pPr>
      <w:r w:rsidRPr="0011705C">
        <w:rPr>
          <w:rFonts w:asciiTheme="majorHAnsi" w:hAnsiTheme="majorHAnsi"/>
          <w:bCs/>
          <w:sz w:val="28"/>
          <w:szCs w:val="28"/>
        </w:rPr>
        <w:t>National Institute for Occupational Safety and Health - NIOSH Centers of Excellence for Total Worker Health® (U19)</w:t>
      </w:r>
    </w:p>
    <w:p w14:paraId="16A488F5" w14:textId="23023EBF" w:rsidR="0011705C" w:rsidRDefault="0011705C" w:rsidP="0011705C">
      <w:pPr>
        <w:rPr>
          <w:rFonts w:asciiTheme="majorHAnsi" w:hAnsiTheme="majorHAnsi"/>
          <w:b/>
          <w:sz w:val="28"/>
          <w:szCs w:val="28"/>
        </w:rPr>
      </w:pPr>
    </w:p>
    <w:p w14:paraId="01DCC859" w14:textId="77777777" w:rsidR="0011705C" w:rsidRDefault="0011705C" w:rsidP="0011705C">
      <w:pPr>
        <w:rPr>
          <w:rFonts w:asciiTheme="majorHAnsi" w:hAnsiTheme="majorHAnsi"/>
          <w:bCs/>
          <w:sz w:val="28"/>
          <w:szCs w:val="28"/>
          <w:u w:val="single"/>
        </w:rPr>
      </w:pPr>
      <w:r>
        <w:rPr>
          <w:rFonts w:asciiTheme="majorHAnsi" w:hAnsiTheme="majorHAnsi"/>
          <w:bCs/>
          <w:sz w:val="28"/>
          <w:szCs w:val="28"/>
          <w:u w:val="single"/>
        </w:rPr>
        <w:t>Environmental Protection Agency</w:t>
      </w:r>
    </w:p>
    <w:p w14:paraId="0DFEBDBA" w14:textId="77777777" w:rsidR="0011705C" w:rsidRPr="004602AA" w:rsidRDefault="0011705C" w:rsidP="0011705C">
      <w:pPr>
        <w:pStyle w:val="ListParagraph"/>
        <w:numPr>
          <w:ilvl w:val="0"/>
          <w:numId w:val="31"/>
        </w:numPr>
        <w:rPr>
          <w:rFonts w:asciiTheme="majorHAnsi" w:hAnsiTheme="majorHAnsi"/>
          <w:bCs/>
          <w:sz w:val="28"/>
          <w:szCs w:val="28"/>
        </w:rPr>
      </w:pPr>
      <w:r w:rsidRPr="004602AA">
        <w:rPr>
          <w:rFonts w:asciiTheme="majorHAnsi" w:hAnsiTheme="majorHAnsi"/>
          <w:bCs/>
          <w:sz w:val="28"/>
          <w:szCs w:val="28"/>
        </w:rPr>
        <w:t>Center for Early Lifestage Vulnerabilities to Environmental Stressors</w:t>
      </w:r>
    </w:p>
    <w:p w14:paraId="6FFF700C" w14:textId="77777777" w:rsidR="005A15EA" w:rsidRPr="00681748" w:rsidRDefault="005A15EA" w:rsidP="005A15EA">
      <w:pPr>
        <w:rPr>
          <w:bCs/>
        </w:rPr>
      </w:pPr>
    </w:p>
    <w:p w14:paraId="555E9B14" w14:textId="6A750F19" w:rsidR="0021373E" w:rsidRPr="00541FEE" w:rsidRDefault="0021373E" w:rsidP="0021373E">
      <w:pPr>
        <w:jc w:val="center"/>
        <w:rPr>
          <w:rFonts w:asciiTheme="majorHAnsi" w:hAnsiTheme="majorHAnsi"/>
          <w:b/>
          <w:sz w:val="28"/>
          <w:szCs w:val="28"/>
          <w:u w:val="single"/>
        </w:rPr>
      </w:pPr>
      <w:r>
        <w:rPr>
          <w:rFonts w:asciiTheme="majorHAnsi" w:hAnsiTheme="majorHAnsi"/>
          <w:b/>
          <w:sz w:val="28"/>
          <w:szCs w:val="28"/>
          <w:u w:val="single"/>
        </w:rPr>
        <w:t>Other Relevant</w:t>
      </w:r>
      <w:r w:rsidRPr="00541FEE">
        <w:rPr>
          <w:rFonts w:asciiTheme="majorHAnsi" w:hAnsiTheme="majorHAnsi"/>
          <w:b/>
          <w:sz w:val="28"/>
          <w:szCs w:val="28"/>
          <w:u w:val="single"/>
        </w:rPr>
        <w:t xml:space="preserve"> Opportunities</w:t>
      </w:r>
    </w:p>
    <w:p w14:paraId="6EA79135" w14:textId="77777777" w:rsidR="009931B7" w:rsidRPr="009931B7" w:rsidRDefault="009931B7" w:rsidP="004642F0">
      <w:pPr>
        <w:rPr>
          <w:rFonts w:asciiTheme="majorHAnsi" w:hAnsiTheme="majorHAnsi"/>
          <w:bCs/>
          <w:sz w:val="28"/>
          <w:szCs w:val="28"/>
        </w:rPr>
      </w:pPr>
    </w:p>
    <w:p w14:paraId="2A5FE1C9" w14:textId="77777777" w:rsidR="00985B21" w:rsidRPr="00985B21" w:rsidRDefault="00985B21" w:rsidP="00985B21">
      <w:pPr>
        <w:rPr>
          <w:rFonts w:asciiTheme="majorHAnsi" w:hAnsiTheme="majorHAnsi"/>
          <w:bCs/>
          <w:sz w:val="28"/>
          <w:szCs w:val="28"/>
          <w:u w:val="single"/>
        </w:rPr>
      </w:pPr>
      <w:r w:rsidRPr="00985B21">
        <w:rPr>
          <w:rFonts w:asciiTheme="majorHAnsi" w:hAnsiTheme="majorHAnsi"/>
          <w:bCs/>
          <w:sz w:val="28"/>
          <w:szCs w:val="28"/>
          <w:u w:val="single"/>
        </w:rPr>
        <w:t>Department of Health and Human Services</w:t>
      </w:r>
    </w:p>
    <w:p w14:paraId="141258A0" w14:textId="77777777" w:rsidR="00985B21" w:rsidRPr="00985B21" w:rsidRDefault="00985B21" w:rsidP="00985B21">
      <w:pPr>
        <w:rPr>
          <w:rFonts w:asciiTheme="majorHAnsi" w:hAnsiTheme="majorHAnsi"/>
          <w:bCs/>
          <w:sz w:val="28"/>
          <w:szCs w:val="28"/>
        </w:rPr>
      </w:pPr>
      <w:r w:rsidRPr="00985B21">
        <w:rPr>
          <w:rFonts w:asciiTheme="majorHAnsi" w:hAnsiTheme="majorHAnsi"/>
          <w:bCs/>
          <w:sz w:val="28"/>
          <w:szCs w:val="28"/>
        </w:rPr>
        <w:t xml:space="preserve">Centers for Disease Control </w:t>
      </w:r>
    </w:p>
    <w:p w14:paraId="64178F5E" w14:textId="6A393975" w:rsidR="00985B21" w:rsidRPr="00D304A5" w:rsidRDefault="00985B21" w:rsidP="00985B21">
      <w:pPr>
        <w:pStyle w:val="ListParagraph"/>
        <w:numPr>
          <w:ilvl w:val="0"/>
          <w:numId w:val="31"/>
        </w:numPr>
        <w:rPr>
          <w:rFonts w:asciiTheme="majorHAnsi" w:hAnsiTheme="majorHAnsi"/>
          <w:bCs/>
          <w:sz w:val="28"/>
          <w:szCs w:val="28"/>
        </w:rPr>
      </w:pPr>
      <w:r w:rsidRPr="00985B21">
        <w:rPr>
          <w:rFonts w:asciiTheme="majorHAnsi" w:hAnsiTheme="majorHAnsi"/>
          <w:bCs/>
          <w:sz w:val="28"/>
          <w:szCs w:val="28"/>
        </w:rPr>
        <w:t>Proposed Data Collection Submitted for Public Comment and Recommendations</w:t>
      </w:r>
      <w:r w:rsidR="00D304A5">
        <w:rPr>
          <w:rFonts w:asciiTheme="majorHAnsi" w:hAnsiTheme="majorHAnsi"/>
          <w:bCs/>
          <w:sz w:val="28"/>
          <w:szCs w:val="28"/>
        </w:rPr>
        <w:t xml:space="preserve"> -</w:t>
      </w:r>
      <w:r w:rsidR="00D304A5" w:rsidRPr="00D304A5">
        <w:rPr>
          <w:rFonts w:asciiTheme="majorHAnsi" w:hAnsiTheme="majorHAnsi"/>
          <w:b/>
          <w:sz w:val="28"/>
          <w:szCs w:val="28"/>
        </w:rPr>
        <w:t xml:space="preserve"> </w:t>
      </w:r>
      <w:r w:rsidR="00D304A5" w:rsidRPr="00D304A5">
        <w:rPr>
          <w:rFonts w:asciiTheme="majorHAnsi" w:hAnsiTheme="majorHAnsi"/>
          <w:bCs/>
          <w:sz w:val="28"/>
          <w:szCs w:val="28"/>
        </w:rPr>
        <w:t xml:space="preserve">Cruise Operator COVID-19 Response Plans </w:t>
      </w:r>
    </w:p>
    <w:p w14:paraId="5C9D58F3" w14:textId="77777777" w:rsidR="00904C7D" w:rsidRPr="00904C7D" w:rsidRDefault="00904C7D" w:rsidP="00904C7D">
      <w:pPr>
        <w:pBdr>
          <w:bottom w:val="single" w:sz="12" w:space="1" w:color="auto"/>
        </w:pBdr>
        <w:rPr>
          <w:rFonts w:asciiTheme="majorHAnsi" w:hAnsiTheme="majorHAnsi" w:cs="Arial"/>
          <w:iCs/>
          <w:sz w:val="28"/>
          <w:szCs w:val="28"/>
        </w:rPr>
      </w:pPr>
      <w:r w:rsidRPr="00904C7D">
        <w:rPr>
          <w:rFonts w:asciiTheme="majorHAnsi" w:hAnsiTheme="majorHAnsi" w:cs="Arial"/>
          <w:iCs/>
          <w:sz w:val="28"/>
          <w:szCs w:val="28"/>
        </w:rPr>
        <w:lastRenderedPageBreak/>
        <w:t>Food and Drug Administration</w:t>
      </w:r>
    </w:p>
    <w:p w14:paraId="1B6A3A8C" w14:textId="77777777" w:rsidR="00904C7D" w:rsidRPr="00904C7D" w:rsidRDefault="00904C7D" w:rsidP="00904C7D">
      <w:pPr>
        <w:pBdr>
          <w:bottom w:val="single" w:sz="12" w:space="1" w:color="auto"/>
        </w:pBdr>
        <w:rPr>
          <w:rFonts w:asciiTheme="majorHAnsi" w:hAnsiTheme="majorHAnsi" w:cs="Arial"/>
          <w:iCs/>
          <w:sz w:val="28"/>
          <w:szCs w:val="28"/>
        </w:rPr>
      </w:pPr>
      <w:r w:rsidRPr="00904C7D">
        <w:rPr>
          <w:rFonts w:asciiTheme="majorHAnsi" w:hAnsiTheme="majorHAnsi" w:cs="Arial"/>
          <w:iCs/>
          <w:sz w:val="28"/>
          <w:szCs w:val="28"/>
        </w:rPr>
        <w:t>•</w:t>
      </w:r>
      <w:r w:rsidRPr="00904C7D">
        <w:rPr>
          <w:rFonts w:asciiTheme="majorHAnsi" w:hAnsiTheme="majorHAnsi" w:cs="Arial"/>
          <w:iCs/>
          <w:sz w:val="28"/>
          <w:szCs w:val="28"/>
        </w:rPr>
        <w:tab/>
        <w:t>Vaccines and Related Biological Products Advisory Committee; Notice of Meeting</w:t>
      </w:r>
    </w:p>
    <w:p w14:paraId="33EE9ED6" w14:textId="77777777" w:rsidR="00EE3886" w:rsidRDefault="00EE3886" w:rsidP="00904C7D">
      <w:pPr>
        <w:pBdr>
          <w:bottom w:val="single" w:sz="12" w:space="1" w:color="auto"/>
        </w:pBdr>
        <w:rPr>
          <w:rFonts w:asciiTheme="majorHAnsi" w:hAnsiTheme="majorHAnsi" w:cs="Arial"/>
          <w:iCs/>
          <w:sz w:val="28"/>
          <w:szCs w:val="28"/>
        </w:rPr>
      </w:pPr>
    </w:p>
    <w:p w14:paraId="5554BF49" w14:textId="4E948CE9" w:rsidR="00904C7D" w:rsidRPr="00D304A5" w:rsidRDefault="00904C7D" w:rsidP="00904C7D">
      <w:pPr>
        <w:pBdr>
          <w:bottom w:val="single" w:sz="12" w:space="1" w:color="auto"/>
        </w:pBdr>
        <w:rPr>
          <w:rFonts w:asciiTheme="majorHAnsi" w:hAnsiTheme="majorHAnsi" w:cs="Arial"/>
          <w:iCs/>
          <w:sz w:val="28"/>
          <w:szCs w:val="28"/>
          <w:u w:val="single"/>
        </w:rPr>
      </w:pPr>
      <w:r w:rsidRPr="00D304A5">
        <w:rPr>
          <w:rFonts w:asciiTheme="majorHAnsi" w:hAnsiTheme="majorHAnsi" w:cs="Arial"/>
          <w:iCs/>
          <w:sz w:val="28"/>
          <w:szCs w:val="28"/>
          <w:u w:val="single"/>
        </w:rPr>
        <w:t xml:space="preserve">U.S. International Trade Commission </w:t>
      </w:r>
    </w:p>
    <w:p w14:paraId="59E1AA19" w14:textId="2F3B36BA" w:rsidR="00904C7D" w:rsidRDefault="00904C7D" w:rsidP="00904C7D">
      <w:pPr>
        <w:pBdr>
          <w:bottom w:val="single" w:sz="12" w:space="1" w:color="auto"/>
        </w:pBdr>
        <w:rPr>
          <w:rFonts w:asciiTheme="majorHAnsi" w:hAnsiTheme="majorHAnsi" w:cs="Arial"/>
          <w:iCs/>
          <w:sz w:val="28"/>
          <w:szCs w:val="28"/>
        </w:rPr>
      </w:pPr>
      <w:r w:rsidRPr="00904C7D">
        <w:rPr>
          <w:rFonts w:asciiTheme="majorHAnsi" w:hAnsiTheme="majorHAnsi" w:cs="Arial"/>
          <w:iCs/>
          <w:sz w:val="28"/>
          <w:szCs w:val="28"/>
        </w:rPr>
        <w:t>•</w:t>
      </w:r>
      <w:r w:rsidRPr="00904C7D">
        <w:rPr>
          <w:rFonts w:asciiTheme="majorHAnsi" w:hAnsiTheme="majorHAnsi" w:cs="Arial"/>
          <w:iCs/>
          <w:sz w:val="28"/>
          <w:szCs w:val="28"/>
        </w:rPr>
        <w:tab/>
        <w:t>COVID-19 Related Goods: The U.S. Industry, Market, Trade, and Supply Chain Challenges; Notice of Institution of Investigation and Scheduling of a Public Hearing</w:t>
      </w:r>
    </w:p>
    <w:p w14:paraId="4EC74620" w14:textId="16A0CE38" w:rsidR="00345E34" w:rsidRDefault="00345E34" w:rsidP="00823E05">
      <w:pPr>
        <w:pBdr>
          <w:bottom w:val="single" w:sz="12" w:space="1" w:color="auto"/>
        </w:pBdr>
        <w:rPr>
          <w:rFonts w:asciiTheme="majorHAnsi" w:hAnsiTheme="majorHAnsi" w:cs="Arial"/>
          <w:i/>
        </w:rPr>
      </w:pPr>
    </w:p>
    <w:p w14:paraId="574E0D2D" w14:textId="685C5A1A" w:rsidR="00904C7D" w:rsidRDefault="00904C7D" w:rsidP="00823E05">
      <w:pPr>
        <w:pBdr>
          <w:bottom w:val="single" w:sz="12" w:space="1" w:color="auto"/>
        </w:pBdr>
        <w:rPr>
          <w:rFonts w:asciiTheme="majorHAnsi" w:hAnsiTheme="majorHAnsi" w:cs="Arial"/>
          <w:i/>
        </w:rPr>
      </w:pPr>
    </w:p>
    <w:p w14:paraId="39F980B8" w14:textId="33CBF48D" w:rsidR="00904C7D" w:rsidRDefault="00904C7D" w:rsidP="00823E05">
      <w:pPr>
        <w:pBdr>
          <w:bottom w:val="single" w:sz="12" w:space="1" w:color="auto"/>
        </w:pBdr>
        <w:rPr>
          <w:rFonts w:asciiTheme="majorHAnsi" w:hAnsiTheme="majorHAnsi" w:cs="Arial"/>
          <w:i/>
        </w:rPr>
      </w:pPr>
    </w:p>
    <w:p w14:paraId="1B238B7B" w14:textId="77777777" w:rsidR="00364913" w:rsidRDefault="00364913" w:rsidP="00364913">
      <w:pPr>
        <w:jc w:val="center"/>
        <w:rPr>
          <w:rFonts w:asciiTheme="majorHAnsi" w:hAnsiTheme="majorHAnsi"/>
          <w:b/>
          <w:sz w:val="28"/>
          <w:szCs w:val="28"/>
          <w:u w:val="single"/>
        </w:rPr>
      </w:pPr>
    </w:p>
    <w:p w14:paraId="144D5F9E" w14:textId="77777777" w:rsidR="001B1DFD" w:rsidRPr="001B1DFD" w:rsidRDefault="001B1DFD" w:rsidP="001B1DFD">
      <w:pPr>
        <w:jc w:val="center"/>
        <w:rPr>
          <w:rFonts w:asciiTheme="majorHAnsi" w:hAnsiTheme="majorHAnsi"/>
          <w:b/>
          <w:sz w:val="32"/>
          <w:szCs w:val="32"/>
          <w:u w:val="single"/>
        </w:rPr>
      </w:pPr>
      <w:r w:rsidRPr="001B1DFD">
        <w:rPr>
          <w:rFonts w:asciiTheme="majorHAnsi" w:hAnsiTheme="majorHAnsi"/>
          <w:b/>
          <w:sz w:val="32"/>
          <w:szCs w:val="32"/>
          <w:u w:val="single"/>
        </w:rPr>
        <w:t>Health Systems Capacity Building (including public health, telemedicine and mental health)</w:t>
      </w:r>
    </w:p>
    <w:p w14:paraId="4EB8B7D9" w14:textId="7A41DD68" w:rsidR="001B1DFD" w:rsidRDefault="001B1DFD" w:rsidP="004256ED">
      <w:pPr>
        <w:jc w:val="center"/>
        <w:rPr>
          <w:rFonts w:asciiTheme="majorHAnsi" w:hAnsiTheme="majorHAnsi"/>
          <w:b/>
          <w:sz w:val="32"/>
          <w:szCs w:val="32"/>
          <w:u w:val="single"/>
        </w:rPr>
      </w:pPr>
    </w:p>
    <w:p w14:paraId="49ECB58C" w14:textId="77777777" w:rsidR="0011705C" w:rsidRPr="004C74F4" w:rsidRDefault="0011705C" w:rsidP="0011705C">
      <w:pPr>
        <w:rPr>
          <w:rFonts w:asciiTheme="majorHAnsi" w:hAnsiTheme="majorHAnsi"/>
          <w:b/>
          <w:sz w:val="28"/>
          <w:szCs w:val="28"/>
        </w:rPr>
      </w:pPr>
      <w:r>
        <w:rPr>
          <w:rFonts w:asciiTheme="majorHAnsi" w:hAnsiTheme="majorHAnsi"/>
          <w:b/>
          <w:sz w:val="28"/>
          <w:szCs w:val="28"/>
        </w:rPr>
        <w:t xml:space="preserve">Department of Health and Human Services – Centers for Disease Control and Prevention - </w:t>
      </w:r>
      <w:r w:rsidRPr="001634FD">
        <w:rPr>
          <w:rFonts w:asciiTheme="majorHAnsi" w:hAnsiTheme="majorHAnsi"/>
          <w:b/>
          <w:sz w:val="28"/>
          <w:szCs w:val="28"/>
        </w:rPr>
        <w:t>Strengthening the Nation's Public Health Communication Infrastructure to Respond to COVID-19</w:t>
      </w:r>
      <w:r>
        <w:rPr>
          <w:rFonts w:asciiTheme="majorHAnsi" w:hAnsiTheme="majorHAnsi"/>
          <w:b/>
          <w:sz w:val="28"/>
          <w:szCs w:val="28"/>
        </w:rPr>
        <w:t xml:space="preserve"> </w:t>
      </w:r>
    </w:p>
    <w:p w14:paraId="18FDA091" w14:textId="77777777" w:rsidR="0011705C" w:rsidRPr="000E1BC8" w:rsidRDefault="0011705C" w:rsidP="0011705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3, 2020</w:t>
      </w:r>
    </w:p>
    <w:p w14:paraId="550592F2" w14:textId="77777777" w:rsidR="0011705C" w:rsidRPr="000E1BC8" w:rsidRDefault="0011705C" w:rsidP="0011705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51E33790" w14:textId="77777777" w:rsidR="0011705C" w:rsidRDefault="0011705C" w:rsidP="0011705C">
      <w:pPr>
        <w:rPr>
          <w:rFonts w:asciiTheme="majorHAnsi" w:hAnsiTheme="majorHAnsi"/>
          <w:b/>
          <w:sz w:val="28"/>
          <w:szCs w:val="28"/>
        </w:rPr>
      </w:pPr>
      <w:r>
        <w:rPr>
          <w:rFonts w:asciiTheme="majorHAnsi" w:hAnsiTheme="majorHAnsi"/>
          <w:b/>
          <w:sz w:val="28"/>
          <w:szCs w:val="28"/>
        </w:rPr>
        <w:t>Estimated Total Program Funding:</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$500,000</w:t>
      </w:r>
    </w:p>
    <w:p w14:paraId="14D76D80" w14:textId="77777777" w:rsidR="0011705C" w:rsidRPr="000E1BC8" w:rsidRDefault="0011705C" w:rsidP="0011705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w:t>
      </w:r>
    </w:p>
    <w:p w14:paraId="27908757" w14:textId="77777777" w:rsidR="0011705C" w:rsidRPr="000E1BC8" w:rsidRDefault="0011705C" w:rsidP="0011705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w:t>
      </w:r>
    </w:p>
    <w:p w14:paraId="6EA4E527" w14:textId="77777777" w:rsidR="0011705C" w:rsidRPr="004C74F4" w:rsidRDefault="0011705C" w:rsidP="0011705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1634FD">
        <w:rPr>
          <w:rFonts w:asciiTheme="majorHAnsi" w:hAnsiTheme="majorHAnsi"/>
          <w:b/>
          <w:sz w:val="28"/>
          <w:szCs w:val="28"/>
        </w:rPr>
        <w:t>CDC-RFA-CD20-2001</w:t>
      </w:r>
    </w:p>
    <w:p w14:paraId="46F7ED1F" w14:textId="77777777" w:rsidR="0011705C" w:rsidRPr="000E1BC8" w:rsidRDefault="0011705C" w:rsidP="0011705C">
      <w:pPr>
        <w:rPr>
          <w:rFonts w:asciiTheme="majorHAnsi" w:hAnsiTheme="majorHAnsi"/>
          <w:b/>
        </w:rPr>
      </w:pPr>
    </w:p>
    <w:p w14:paraId="3050A417" w14:textId="77777777" w:rsidR="0011705C" w:rsidRPr="001634FD" w:rsidRDefault="0011705C" w:rsidP="0011705C">
      <w:pPr>
        <w:rPr>
          <w:rFonts w:asciiTheme="majorHAnsi" w:hAnsiTheme="majorHAnsi" w:cs="Arial"/>
          <w:bCs/>
          <w:i/>
        </w:rPr>
      </w:pPr>
      <w:r w:rsidRPr="00E41175">
        <w:rPr>
          <w:rFonts w:asciiTheme="majorHAnsi" w:hAnsiTheme="majorHAnsi" w:cs="Arial"/>
          <w:b/>
          <w:bCs/>
          <w:i/>
        </w:rPr>
        <w:t>Purpose</w:t>
      </w:r>
      <w:r w:rsidRPr="00AC78DB">
        <w:rPr>
          <w:rFonts w:asciiTheme="majorHAnsi" w:hAnsiTheme="majorHAnsi" w:cs="Arial"/>
          <w:bCs/>
          <w:i/>
        </w:rPr>
        <w:t xml:space="preserve">: </w:t>
      </w:r>
      <w:r w:rsidRPr="001634FD">
        <w:rPr>
          <w:rFonts w:asciiTheme="majorHAnsi" w:hAnsiTheme="majorHAnsi" w:cs="Arial"/>
          <w:bCs/>
          <w:i/>
        </w:rPr>
        <w:t>There is a need to strengthen the nation’s public health communications infrastructure to be able to respond to the historically unique challenges presented by the COVID-19 pandemic. The COVID-19 pandemic has strained the public health infrastructure in the United States almost to the breaking point. Maintaining a strong public health system requires strong communications and public affairs support throughout every level of government and across the entire country. Public information officers (PIOs), public affairs officers (PAOs), and other health communicators can provide safe and consistent messages and guidelines for safely reopening America in communities across the United States. As each state and locality will need to address issues specific to their jurisdiction, it is important to ensure that the public health communication infrastructure can support effective dissemination of consistent public health messaging. This program seeks to strengthen the public health communication infrastructure.</w:t>
      </w:r>
    </w:p>
    <w:p w14:paraId="20B3DA6D" w14:textId="77777777" w:rsidR="0011705C" w:rsidRDefault="0011705C" w:rsidP="0011705C">
      <w:pPr>
        <w:rPr>
          <w:rFonts w:asciiTheme="majorHAnsi" w:hAnsiTheme="majorHAnsi" w:cs="Arial"/>
          <w:bCs/>
          <w:i/>
        </w:rPr>
      </w:pPr>
      <w:r w:rsidRPr="001634FD">
        <w:rPr>
          <w:rFonts w:asciiTheme="majorHAnsi" w:hAnsiTheme="majorHAnsi" w:cs="Arial"/>
          <w:bCs/>
          <w:i/>
        </w:rPr>
        <w:t xml:space="preserve">The COVID-19 pandemic has resulted in an unanticipated and tremendous surge in demand for real-time public health information from CDC, tailored to each state and local jurisdictions’ needs. One criticism of the current response as seen from communications monitoring and congressional inquiries, is the lack of cohesion in messaging: the various levels of government are sharing different messages. Therefore, the public struggles to understand which messages to listen and what strategies to implement. As each state and locality grapples with how to best continue “reopening America” in a way that is safe, based on data, and that addresses each jurisdiction’s needs, there is a high likelihood of </w:t>
      </w:r>
      <w:r w:rsidRPr="001634FD">
        <w:rPr>
          <w:rFonts w:asciiTheme="majorHAnsi" w:hAnsiTheme="majorHAnsi" w:cs="Arial"/>
          <w:bCs/>
          <w:i/>
        </w:rPr>
        <w:lastRenderedPageBreak/>
        <w:t>mixed messaging. While some sectors have already opened, other key sectors—such as schools in the fall—will require cohesive and consistent public health messaging. As new evidence is incorporated in public health guidance and strategies related to reopening must shift accordingly, the public health communications network will require immense support. Since the responsibility of reopening has been pushed down to the state and local level, the federal response needs to have a trusted channel and organization that can bring their membership body together. Public health communicators at the state, local, tribal and territorial levels need additional support to effectively do their job in ensuring that their health department and their partner organizations are providing accurate and actionable guidance</w:t>
      </w:r>
    </w:p>
    <w:p w14:paraId="2ECF59CC" w14:textId="77777777" w:rsidR="0011705C" w:rsidRDefault="0011705C" w:rsidP="0011705C">
      <w:pPr>
        <w:rPr>
          <w:rFonts w:asciiTheme="majorHAnsi" w:hAnsiTheme="majorHAnsi" w:cs="Arial"/>
          <w:b/>
          <w:i/>
          <w:color w:val="000000" w:themeColor="text1"/>
          <w:sz w:val="32"/>
          <w:szCs w:val="32"/>
        </w:rPr>
      </w:pPr>
    </w:p>
    <w:p w14:paraId="63B4A48C" w14:textId="77777777" w:rsidR="0011705C" w:rsidRDefault="0089103E" w:rsidP="0011705C">
      <w:pPr>
        <w:rPr>
          <w:rStyle w:val="Hyperlink"/>
          <w:rFonts w:ascii="Verdana" w:hAnsi="Verdana"/>
          <w:i/>
          <w:sz w:val="20"/>
          <w:szCs w:val="20"/>
          <w:shd w:val="clear" w:color="auto" w:fill="FFFFFF"/>
        </w:rPr>
      </w:pPr>
      <w:hyperlink r:id="rId10" w:history="1">
        <w:r w:rsidR="0011705C" w:rsidRPr="00FF34F5">
          <w:rPr>
            <w:rStyle w:val="Hyperlink"/>
            <w:rFonts w:ascii="Verdana" w:hAnsi="Verdana"/>
            <w:i/>
            <w:sz w:val="20"/>
            <w:szCs w:val="20"/>
            <w:shd w:val="clear" w:color="auto" w:fill="FFFFFF"/>
          </w:rPr>
          <w:t>https://www.grants.gov/web/grants/view-opportunity.html?oppId=328860</w:t>
        </w:r>
      </w:hyperlink>
    </w:p>
    <w:p w14:paraId="24198CF7" w14:textId="77777777" w:rsidR="0011705C" w:rsidRPr="00C342C1" w:rsidRDefault="0011705C" w:rsidP="0011705C">
      <w:pPr>
        <w:rPr>
          <w:rFonts w:ascii="Verdana" w:hAnsi="Verdana"/>
          <w:i/>
          <w:color w:val="0000FF" w:themeColor="hyperlink"/>
          <w:sz w:val="32"/>
          <w:szCs w:val="20"/>
          <w:u w:val="single"/>
          <w:shd w:val="clear" w:color="auto" w:fill="FFFFFF"/>
        </w:rPr>
      </w:pPr>
    </w:p>
    <w:p w14:paraId="580CC24B" w14:textId="7759E525" w:rsidR="004256ED" w:rsidRPr="0058702B" w:rsidRDefault="004256ED" w:rsidP="004256ED">
      <w:pPr>
        <w:jc w:val="center"/>
        <w:rPr>
          <w:rFonts w:asciiTheme="majorHAnsi" w:hAnsiTheme="majorHAnsi"/>
          <w:b/>
          <w:sz w:val="32"/>
          <w:szCs w:val="32"/>
          <w:u w:val="single"/>
        </w:rPr>
      </w:pPr>
      <w:r>
        <w:rPr>
          <w:rFonts w:asciiTheme="majorHAnsi" w:hAnsiTheme="majorHAnsi"/>
          <w:b/>
          <w:sz w:val="32"/>
          <w:szCs w:val="32"/>
          <w:u w:val="single"/>
        </w:rPr>
        <w:t>Health Research Opportunities</w:t>
      </w:r>
    </w:p>
    <w:p w14:paraId="24CA8D59" w14:textId="77777777" w:rsidR="0011705C" w:rsidRDefault="0011705C" w:rsidP="007D2A76">
      <w:pPr>
        <w:rPr>
          <w:rFonts w:asciiTheme="majorHAnsi" w:hAnsiTheme="majorHAnsi"/>
          <w:b/>
          <w:sz w:val="28"/>
          <w:szCs w:val="28"/>
        </w:rPr>
      </w:pPr>
    </w:p>
    <w:p w14:paraId="3E99245C" w14:textId="77777777" w:rsidR="00C50391" w:rsidRDefault="00C50391" w:rsidP="00C50391">
      <w:pPr>
        <w:rPr>
          <w:rFonts w:asciiTheme="majorHAnsi" w:hAnsiTheme="majorHAnsi"/>
          <w:b/>
          <w:sz w:val="28"/>
          <w:szCs w:val="28"/>
        </w:rPr>
      </w:pPr>
      <w:r>
        <w:rPr>
          <w:rFonts w:asciiTheme="majorHAnsi" w:hAnsiTheme="majorHAnsi"/>
          <w:b/>
          <w:sz w:val="28"/>
          <w:szCs w:val="28"/>
        </w:rPr>
        <w:t>Department of Health and Human Services – National Institutes of Health - Na</w:t>
      </w:r>
      <w:r w:rsidRPr="00681748">
        <w:rPr>
          <w:rFonts w:asciiTheme="majorHAnsi" w:hAnsiTheme="majorHAnsi"/>
          <w:b/>
          <w:sz w:val="28"/>
          <w:szCs w:val="28"/>
        </w:rPr>
        <w:t>tional Institute for Occupational Safety and Health</w:t>
      </w:r>
      <w:r>
        <w:rPr>
          <w:rFonts w:asciiTheme="majorHAnsi" w:hAnsiTheme="majorHAnsi"/>
          <w:b/>
          <w:sz w:val="28"/>
          <w:szCs w:val="28"/>
        </w:rPr>
        <w:t xml:space="preserve"> - </w:t>
      </w:r>
      <w:r w:rsidRPr="00681748">
        <w:rPr>
          <w:rFonts w:asciiTheme="majorHAnsi" w:hAnsiTheme="majorHAnsi"/>
          <w:b/>
          <w:sz w:val="28"/>
          <w:szCs w:val="28"/>
        </w:rPr>
        <w:t>NIOSH Centers of Excellence for Total Worker Health® (U19)</w:t>
      </w:r>
    </w:p>
    <w:p w14:paraId="1414A3EF" w14:textId="77777777" w:rsidR="00C50391" w:rsidRDefault="00C50391" w:rsidP="00C50391">
      <w:pPr>
        <w:rPr>
          <w:rFonts w:asciiTheme="majorHAnsi" w:hAnsiTheme="majorHAnsi"/>
          <w:b/>
          <w:sz w:val="28"/>
          <w:szCs w:val="28"/>
        </w:rPr>
      </w:pPr>
      <w:r>
        <w:rPr>
          <w:rFonts w:asciiTheme="majorHAnsi" w:hAnsiTheme="majorHAnsi"/>
          <w:b/>
          <w:sz w:val="28"/>
          <w:szCs w:val="28"/>
        </w:rPr>
        <w:t>Letter of Intent Due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2, 2020</w:t>
      </w:r>
    </w:p>
    <w:p w14:paraId="76E1B860" w14:textId="77777777" w:rsidR="00C50391" w:rsidRPr="000E1BC8" w:rsidRDefault="00C50391" w:rsidP="00C50391">
      <w:pPr>
        <w:rPr>
          <w:rFonts w:asciiTheme="majorHAnsi" w:hAnsiTheme="majorHAnsi"/>
          <w:b/>
          <w:sz w:val="28"/>
          <w:szCs w:val="28"/>
        </w:rPr>
      </w:pPr>
      <w:r>
        <w:rPr>
          <w:rFonts w:asciiTheme="majorHAnsi" w:hAnsiTheme="majorHAnsi"/>
          <w:b/>
          <w:sz w:val="28"/>
          <w:szCs w:val="28"/>
        </w:rPr>
        <w:t>Propo</w:t>
      </w:r>
      <w:r w:rsidRPr="000E1BC8">
        <w:rPr>
          <w:rFonts w:asciiTheme="majorHAnsi" w:hAnsiTheme="majorHAnsi"/>
          <w:b/>
          <w:sz w:val="28"/>
          <w:szCs w:val="28"/>
        </w:rPr>
        <w:t xml:space="preserve">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681748">
        <w:rPr>
          <w:rFonts w:asciiTheme="majorHAnsi" w:hAnsiTheme="majorHAnsi"/>
          <w:b/>
          <w:sz w:val="28"/>
          <w:szCs w:val="28"/>
        </w:rPr>
        <w:t>February 3, 2021</w:t>
      </w:r>
    </w:p>
    <w:p w14:paraId="4C6B2FB0" w14:textId="77777777" w:rsidR="00C50391" w:rsidRPr="000E1BC8" w:rsidRDefault="00C50391" w:rsidP="00C50391">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71153AB" w14:textId="77777777" w:rsidR="00C50391" w:rsidRPr="000E1BC8" w:rsidRDefault="00C50391" w:rsidP="00C50391">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EC3B410" w14:textId="77777777" w:rsidR="00C50391" w:rsidRPr="000E1BC8" w:rsidRDefault="00C50391" w:rsidP="00C50391">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4DFCE10" w14:textId="77777777" w:rsidR="00C50391" w:rsidRPr="000E1BC8" w:rsidRDefault="00C50391" w:rsidP="00C50391">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8F10638" w14:textId="77777777" w:rsidR="00C50391" w:rsidRPr="00A37355" w:rsidRDefault="00C50391" w:rsidP="00C50391">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681748">
        <w:rPr>
          <w:rFonts w:asciiTheme="majorHAnsi" w:hAnsiTheme="majorHAnsi"/>
          <w:b/>
          <w:sz w:val="28"/>
          <w:szCs w:val="28"/>
        </w:rPr>
        <w:t>PAR-20-297</w:t>
      </w:r>
    </w:p>
    <w:p w14:paraId="218853FC" w14:textId="77777777" w:rsidR="00C50391" w:rsidRPr="000E1BC8" w:rsidRDefault="00C50391" w:rsidP="00C50391">
      <w:pPr>
        <w:rPr>
          <w:rFonts w:asciiTheme="majorHAnsi" w:hAnsiTheme="majorHAnsi"/>
          <w:b/>
        </w:rPr>
      </w:pPr>
    </w:p>
    <w:p w14:paraId="060AA286" w14:textId="77777777" w:rsidR="00C50391" w:rsidRDefault="00C50391" w:rsidP="00C50391">
      <w:pPr>
        <w:rPr>
          <w:rFonts w:asciiTheme="majorHAnsi" w:hAnsiTheme="majorHAnsi" w:cs="Arial"/>
          <w:bCs/>
          <w:i/>
        </w:rPr>
      </w:pPr>
      <w:r w:rsidRPr="00AC78DB">
        <w:rPr>
          <w:rFonts w:asciiTheme="majorHAnsi" w:hAnsiTheme="majorHAnsi" w:cs="Arial"/>
          <w:bCs/>
          <w:i/>
        </w:rPr>
        <w:t xml:space="preserve">Purpose: </w:t>
      </w:r>
      <w:r w:rsidRPr="00681748">
        <w:rPr>
          <w:rFonts w:asciiTheme="majorHAnsi" w:hAnsiTheme="majorHAnsi" w:cs="Arial"/>
          <w:bCs/>
          <w:i/>
        </w:rPr>
        <w:t>NIOSH/CDC invites applications for the NIOSH Centers of Excellence for Total Worker Health (TWH). The purpose of this FOA is to solicit meritorious applications for Centers of Excellence for TWH to develop and conduct a broad range of multidisciplinary research, intervention, outreach and education, and evaluation activities that advance the overall safety, health, and well-being of the diverse population of workers in our nation. Center structure should take advantage of diverse scientific resources and focus on local, regional, or national worker safety and health issues. Centers should emphasize creating and implementing evidence-based solutions to address evolving challenges and opportunities related to worker safety, mental and physical health, and well-being. Collaborations in partnership with academic institutions, nonprofit organizations, and other groups focused on occupational safety and health are expected. Applicants must concisely describe the occupational health burden within their service area and directly link research and outreach activities to help alleviate the burden. Applicants should also clearly articulate the anticipated impacts of the proposed work, both during the project period and beyond.</w:t>
      </w:r>
    </w:p>
    <w:p w14:paraId="61099617" w14:textId="77777777" w:rsidR="00C50391" w:rsidRPr="00681748" w:rsidRDefault="00C50391" w:rsidP="00C50391">
      <w:pPr>
        <w:rPr>
          <w:rFonts w:asciiTheme="majorHAnsi" w:hAnsiTheme="majorHAnsi" w:cs="Arial"/>
          <w:bCs/>
          <w:i/>
        </w:rPr>
      </w:pPr>
      <w:r w:rsidRPr="00681748">
        <w:rPr>
          <w:rFonts w:asciiTheme="majorHAnsi" w:hAnsiTheme="majorHAnsi" w:cs="Arial"/>
          <w:bCs/>
          <w:i/>
        </w:rPr>
        <w:t>Today’s workers face not only the traditional risks of chemical, physical, and biological hazards but also increased risks related to the changing nature of work, shifting workforce demographics and diversity, and evolving employment patterns. The changing workplace environment also contributes to stress, mental health effects, chronic diseases and other impacts on population health and well-being.</w:t>
      </w:r>
    </w:p>
    <w:p w14:paraId="47CFDF06" w14:textId="77777777" w:rsidR="00C50391" w:rsidRPr="00681748" w:rsidRDefault="00C50391" w:rsidP="00C50391">
      <w:pPr>
        <w:rPr>
          <w:rFonts w:asciiTheme="majorHAnsi" w:hAnsiTheme="majorHAnsi" w:cs="Arial"/>
          <w:bCs/>
          <w:i/>
        </w:rPr>
      </w:pPr>
    </w:p>
    <w:p w14:paraId="0CABCDE3" w14:textId="77777777" w:rsidR="00C50391" w:rsidRPr="00681748" w:rsidRDefault="00C50391" w:rsidP="00C50391">
      <w:pPr>
        <w:rPr>
          <w:rFonts w:asciiTheme="majorHAnsi" w:hAnsiTheme="majorHAnsi" w:cs="Arial"/>
          <w:bCs/>
          <w:i/>
        </w:rPr>
      </w:pPr>
      <w:r w:rsidRPr="00681748">
        <w:rPr>
          <w:rFonts w:asciiTheme="majorHAnsi" w:hAnsiTheme="majorHAnsi" w:cs="Arial"/>
          <w:bCs/>
          <w:i/>
        </w:rPr>
        <w:t>At the time of publishing this FOA, the COVID-19 pandemic has changed the workplace environment and increased worker concerns about economic insecurity, mental health and well-being, isolation and other challenges of working remotely, and reintegrating back into the workplace safely. New and daily challenges in the workplace, families, and communities create emerging conditions that increase allostatic loading (the wear and tear of ongoing stress experienced by individuals) and may affect cognitive reserve and resilience, and potentially lead to cognitive decline. Gender, age and socioeconomic characteristics of workers may affect their sensitivity to these emerging conditions.</w:t>
      </w:r>
    </w:p>
    <w:p w14:paraId="360635BD" w14:textId="77777777" w:rsidR="00C50391" w:rsidRPr="00681748" w:rsidRDefault="00C50391" w:rsidP="00C50391">
      <w:pPr>
        <w:rPr>
          <w:rFonts w:asciiTheme="majorHAnsi" w:hAnsiTheme="majorHAnsi" w:cs="Arial"/>
          <w:bCs/>
          <w:i/>
        </w:rPr>
      </w:pPr>
    </w:p>
    <w:p w14:paraId="274856F3" w14:textId="77777777" w:rsidR="00C50391" w:rsidRDefault="00C50391" w:rsidP="00C50391">
      <w:pPr>
        <w:rPr>
          <w:rFonts w:asciiTheme="majorHAnsi" w:hAnsiTheme="majorHAnsi" w:cs="Arial"/>
          <w:bCs/>
          <w:i/>
        </w:rPr>
      </w:pPr>
      <w:r w:rsidRPr="00681748">
        <w:rPr>
          <w:rFonts w:asciiTheme="majorHAnsi" w:hAnsiTheme="majorHAnsi" w:cs="Arial"/>
          <w:bCs/>
          <w:i/>
        </w:rPr>
        <w:t>The National Institute for Occupational Safety and Health’s (NIOSH) TWH Program builds on four decades of scientific knowledge through the recognition that work is a social determinant of health; job-related factors such as wages, hours of work, workload and stress levels, interactions with coworkers and supervisors, access to paid leave, and health-promoting workplaces all can have an important impact on the well-being of workers, their families, and their communities. TWH is defined as policies, programs and practices that integrate protection from work-related safety and health hazards with promotion of injury and illness prevention efforts to advance worker well-being. This approach prioritizes a hazard-free work environment for all workers and comprehensively integrates workplace systems relevant to the control of hazards and exposures, organization of work, compensation and benefits, work-life integration/management, and organizational change management.  The NIOSH TWH program supports ground-breaking research and practical applications that address the implications of today’s changing workplace and responds to demands for information and practical solutions to the health, safety, and well-being challenges that workers face.</w:t>
      </w:r>
    </w:p>
    <w:p w14:paraId="1D3C601A" w14:textId="77777777" w:rsidR="00C50391" w:rsidRDefault="00C50391" w:rsidP="00C50391">
      <w:pPr>
        <w:rPr>
          <w:rFonts w:asciiTheme="majorHAnsi" w:hAnsiTheme="majorHAnsi" w:cs="Arial"/>
          <w:bCs/>
          <w:i/>
        </w:rPr>
      </w:pPr>
    </w:p>
    <w:p w14:paraId="303F8549" w14:textId="77777777" w:rsidR="00C50391" w:rsidRDefault="0089103E" w:rsidP="00C50391">
      <w:pPr>
        <w:rPr>
          <w:rFonts w:asciiTheme="majorHAnsi" w:hAnsiTheme="majorHAnsi" w:cs="Arial"/>
          <w:bCs/>
          <w:i/>
        </w:rPr>
      </w:pPr>
      <w:hyperlink r:id="rId11" w:history="1">
        <w:r w:rsidR="00C50391" w:rsidRPr="00681748">
          <w:rPr>
            <w:rStyle w:val="Hyperlink"/>
            <w:rFonts w:asciiTheme="majorHAnsi" w:hAnsiTheme="majorHAnsi" w:cs="Arial"/>
            <w:bCs/>
            <w:i/>
          </w:rPr>
          <w:t>https://grants.nih.gov/grants/guide/pa-files/PAR-20-297.html</w:t>
        </w:r>
      </w:hyperlink>
    </w:p>
    <w:p w14:paraId="0FE91212" w14:textId="77777777" w:rsidR="00C50391" w:rsidRPr="00681748" w:rsidRDefault="00C50391" w:rsidP="00C50391">
      <w:pPr>
        <w:rPr>
          <w:rFonts w:asciiTheme="majorHAnsi" w:hAnsiTheme="majorHAnsi" w:cs="Arial"/>
          <w:bCs/>
          <w:i/>
        </w:rPr>
      </w:pPr>
      <w:r w:rsidRPr="00681748">
        <w:rPr>
          <w:rFonts w:asciiTheme="majorHAnsi" w:hAnsiTheme="majorHAnsi" w:cs="Arial"/>
          <w:bCs/>
          <w:i/>
        </w:rPr>
        <w:t xml:space="preserve">  </w:t>
      </w:r>
    </w:p>
    <w:p w14:paraId="5945717D" w14:textId="77777777" w:rsidR="0011705C" w:rsidRPr="004C74F4" w:rsidRDefault="0011705C" w:rsidP="0011705C">
      <w:pPr>
        <w:rPr>
          <w:rFonts w:asciiTheme="majorHAnsi" w:hAnsiTheme="majorHAnsi"/>
          <w:b/>
          <w:sz w:val="28"/>
          <w:szCs w:val="28"/>
        </w:rPr>
      </w:pPr>
      <w:r>
        <w:rPr>
          <w:rFonts w:asciiTheme="majorHAnsi" w:hAnsiTheme="majorHAnsi"/>
          <w:b/>
          <w:sz w:val="28"/>
          <w:szCs w:val="28"/>
        </w:rPr>
        <w:t xml:space="preserve">Environmental Protection Agency – </w:t>
      </w:r>
      <w:r w:rsidRPr="004602AA">
        <w:rPr>
          <w:rFonts w:asciiTheme="majorHAnsi" w:hAnsiTheme="majorHAnsi"/>
          <w:b/>
          <w:sz w:val="28"/>
          <w:szCs w:val="28"/>
        </w:rPr>
        <w:t>Center for Early Lifestage Vulnerabilities to Environmental Stressors</w:t>
      </w:r>
    </w:p>
    <w:p w14:paraId="581FAB8B" w14:textId="77777777" w:rsidR="0011705C" w:rsidRPr="000E1BC8" w:rsidRDefault="0011705C" w:rsidP="0011705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12, 2020</w:t>
      </w:r>
    </w:p>
    <w:p w14:paraId="5204C9E3" w14:textId="77777777" w:rsidR="0011705C" w:rsidRPr="000E1BC8" w:rsidRDefault="0011705C" w:rsidP="0011705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1CC1F3DE" w14:textId="77777777" w:rsidR="0011705C" w:rsidRDefault="0011705C" w:rsidP="0011705C">
      <w:pPr>
        <w:rPr>
          <w:rFonts w:asciiTheme="majorHAnsi" w:hAnsiTheme="majorHAnsi"/>
          <w:b/>
          <w:sz w:val="28"/>
          <w:szCs w:val="28"/>
        </w:rPr>
      </w:pPr>
      <w:r>
        <w:rPr>
          <w:rFonts w:asciiTheme="majorHAnsi" w:hAnsiTheme="majorHAnsi"/>
          <w:b/>
          <w:sz w:val="28"/>
          <w:szCs w:val="28"/>
        </w:rPr>
        <w:t>Estimated Total Program Funding:</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$1,900,000</w:t>
      </w:r>
    </w:p>
    <w:p w14:paraId="57B53C6D" w14:textId="77777777" w:rsidR="0011705C" w:rsidRPr="000E1BC8" w:rsidRDefault="0011705C" w:rsidP="0011705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$1,900,000</w:t>
      </w:r>
    </w:p>
    <w:p w14:paraId="5EDC04F3" w14:textId="77777777" w:rsidR="0011705C" w:rsidRPr="004C74F4" w:rsidRDefault="0011705C" w:rsidP="0011705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1634FD">
        <w:rPr>
          <w:rFonts w:asciiTheme="majorHAnsi" w:hAnsiTheme="majorHAnsi"/>
          <w:b/>
          <w:sz w:val="28"/>
          <w:szCs w:val="28"/>
        </w:rPr>
        <w:t>CDC-RFA-CD20-2001</w:t>
      </w:r>
    </w:p>
    <w:p w14:paraId="39B6D8F0" w14:textId="77777777" w:rsidR="0011705C" w:rsidRPr="000E1BC8" w:rsidRDefault="0011705C" w:rsidP="0011705C">
      <w:pPr>
        <w:rPr>
          <w:rFonts w:asciiTheme="majorHAnsi" w:hAnsiTheme="majorHAnsi"/>
          <w:b/>
        </w:rPr>
      </w:pPr>
    </w:p>
    <w:p w14:paraId="36AD2FED" w14:textId="77777777" w:rsidR="0011705C" w:rsidRDefault="0011705C" w:rsidP="0011705C">
      <w:pPr>
        <w:rPr>
          <w:rFonts w:asciiTheme="majorHAnsi" w:hAnsiTheme="majorHAnsi" w:cs="Arial"/>
          <w:bCs/>
          <w:i/>
        </w:rPr>
      </w:pPr>
      <w:r w:rsidRPr="00E41175">
        <w:rPr>
          <w:rFonts w:asciiTheme="majorHAnsi" w:hAnsiTheme="majorHAnsi" w:cs="Arial"/>
          <w:b/>
          <w:bCs/>
          <w:i/>
        </w:rPr>
        <w:t>Purpose</w:t>
      </w:r>
      <w:r w:rsidRPr="00AC78DB">
        <w:rPr>
          <w:rFonts w:asciiTheme="majorHAnsi" w:hAnsiTheme="majorHAnsi" w:cs="Arial"/>
          <w:bCs/>
          <w:i/>
        </w:rPr>
        <w:t xml:space="preserve">: </w:t>
      </w:r>
      <w:r w:rsidRPr="004602AA">
        <w:rPr>
          <w:rFonts w:asciiTheme="majorHAnsi" w:hAnsiTheme="majorHAnsi" w:cs="Arial"/>
          <w:bCs/>
          <w:i/>
        </w:rPr>
        <w:t xml:space="preserve">The U.S. Environmental Protection Agency (EPA), as part of its Science to Achieve Results (STAR) program, is seeking applications to support a Center for Early Lifestage Vulnerabilities to Environmental Stressors. EPA is interested in supporting a transdisciplinary research center to better understand potential causal relationships among cumulative exposures to chemicals and non-chemical environmental stressors during early lifestages and modifying factors that result in adverse developmental health effects. Developmental health outcomes may include attention deficit/hyperactivity disorder (ADHD), reduced IQ, obesity, lessened self-regulatory capacities, anxiety, depression, attention problems, lower memory function, or structural changes to the brain. The application should include the development and demonstration of novel and revolutionary quantitative </w:t>
      </w:r>
      <w:r w:rsidRPr="004602AA">
        <w:rPr>
          <w:rFonts w:asciiTheme="majorHAnsi" w:hAnsiTheme="majorHAnsi" w:cs="Arial"/>
          <w:bCs/>
          <w:i/>
        </w:rPr>
        <w:lastRenderedPageBreak/>
        <w:t>methods and approaches to integrate multidisciplinary data (epidemiology, toxicology, exposure science, risk assessment, public health, social science, and environmental science).</w:t>
      </w:r>
    </w:p>
    <w:p w14:paraId="2D146E8A" w14:textId="77777777" w:rsidR="0011705C" w:rsidRDefault="0011705C" w:rsidP="0011705C">
      <w:pPr>
        <w:rPr>
          <w:rFonts w:asciiTheme="majorHAnsi" w:hAnsiTheme="majorHAnsi" w:cs="Arial"/>
          <w:b/>
          <w:i/>
          <w:color w:val="000000" w:themeColor="text1"/>
          <w:sz w:val="32"/>
          <w:szCs w:val="32"/>
        </w:rPr>
      </w:pPr>
    </w:p>
    <w:p w14:paraId="03E17D00" w14:textId="77777777" w:rsidR="0011705C" w:rsidRDefault="0011705C" w:rsidP="0011705C">
      <w:pPr>
        <w:rPr>
          <w:rFonts w:asciiTheme="majorHAnsi" w:hAnsiTheme="majorHAnsi" w:cs="Arial"/>
          <w:bCs/>
          <w:i/>
        </w:rPr>
      </w:pPr>
      <w:r w:rsidRPr="004602AA">
        <w:rPr>
          <w:rStyle w:val="Hyperlink"/>
          <w:rFonts w:ascii="Verdana" w:hAnsi="Verdana"/>
          <w:i/>
          <w:sz w:val="20"/>
          <w:szCs w:val="20"/>
          <w:shd w:val="clear" w:color="auto" w:fill="FFFFFF"/>
        </w:rPr>
        <w:t>https://www.grants.gov/web/grants/view-opportunity.html?oppId=328838</w:t>
      </w:r>
    </w:p>
    <w:p w14:paraId="7C852CCF" w14:textId="77777777" w:rsidR="0011705C" w:rsidRPr="00C357D3" w:rsidRDefault="0011705C" w:rsidP="0011705C">
      <w:pPr>
        <w:rPr>
          <w:rFonts w:asciiTheme="majorHAnsi" w:hAnsiTheme="majorHAnsi"/>
          <w:b/>
          <w:i/>
          <w:sz w:val="32"/>
          <w:szCs w:val="32"/>
          <w:u w:val="single"/>
        </w:rPr>
      </w:pPr>
    </w:p>
    <w:p w14:paraId="72A576BC" w14:textId="75C62E37" w:rsidR="0021373E" w:rsidRPr="00545E45" w:rsidRDefault="0021373E" w:rsidP="0021373E">
      <w:pPr>
        <w:jc w:val="center"/>
        <w:rPr>
          <w:rFonts w:asciiTheme="majorHAnsi" w:hAnsiTheme="majorHAnsi"/>
          <w:b/>
          <w:sz w:val="32"/>
          <w:szCs w:val="32"/>
          <w:u w:val="single"/>
        </w:rPr>
      </w:pPr>
      <w:r w:rsidRPr="00545E45">
        <w:rPr>
          <w:rFonts w:asciiTheme="majorHAnsi" w:hAnsiTheme="majorHAnsi"/>
          <w:b/>
          <w:sz w:val="32"/>
          <w:szCs w:val="32"/>
          <w:u w:val="single"/>
        </w:rPr>
        <w:t>Other Relevant Opportunities</w:t>
      </w:r>
    </w:p>
    <w:p w14:paraId="245D39E1" w14:textId="77777777" w:rsidR="00541FEE" w:rsidRDefault="00541FEE" w:rsidP="00541FEE">
      <w:pPr>
        <w:rPr>
          <w:rFonts w:asciiTheme="majorHAnsi" w:hAnsiTheme="majorHAnsi" w:cs="Arial"/>
          <w:bCs/>
          <w:i/>
        </w:rPr>
      </w:pPr>
    </w:p>
    <w:p w14:paraId="74611DCD" w14:textId="77777777" w:rsidR="007D2A76" w:rsidRDefault="007D2A76" w:rsidP="007D2A76">
      <w:pPr>
        <w:rPr>
          <w:rFonts w:asciiTheme="majorHAnsi" w:hAnsiTheme="majorHAnsi" w:cs="Arial"/>
          <w:bCs/>
          <w:i/>
        </w:rPr>
      </w:pPr>
    </w:p>
    <w:p w14:paraId="3C171CB4" w14:textId="0BFBAA09" w:rsidR="00985B21" w:rsidRDefault="00C50391" w:rsidP="007D2A76">
      <w:pPr>
        <w:rPr>
          <w:rFonts w:asciiTheme="majorHAnsi" w:hAnsiTheme="majorHAnsi"/>
          <w:b/>
          <w:sz w:val="28"/>
          <w:szCs w:val="28"/>
        </w:rPr>
      </w:pPr>
      <w:r>
        <w:rPr>
          <w:rFonts w:asciiTheme="majorHAnsi" w:hAnsiTheme="majorHAnsi"/>
          <w:b/>
          <w:sz w:val="28"/>
          <w:szCs w:val="28"/>
        </w:rPr>
        <w:t>Department of Health and Human Services – Centers for Di</w:t>
      </w:r>
      <w:r w:rsidR="00985B21">
        <w:rPr>
          <w:rFonts w:asciiTheme="majorHAnsi" w:hAnsiTheme="majorHAnsi"/>
          <w:b/>
          <w:sz w:val="28"/>
          <w:szCs w:val="28"/>
        </w:rPr>
        <w:t>s</w:t>
      </w:r>
      <w:r>
        <w:rPr>
          <w:rFonts w:asciiTheme="majorHAnsi" w:hAnsiTheme="majorHAnsi"/>
          <w:b/>
          <w:sz w:val="28"/>
          <w:szCs w:val="28"/>
        </w:rPr>
        <w:t xml:space="preserve">ease Control - </w:t>
      </w:r>
      <w:r w:rsidR="00985B21" w:rsidRPr="00985B21">
        <w:rPr>
          <w:rFonts w:asciiTheme="majorHAnsi" w:hAnsiTheme="majorHAnsi"/>
          <w:b/>
          <w:sz w:val="28"/>
          <w:szCs w:val="28"/>
        </w:rPr>
        <w:t>Proposed Data Collection Submitted for Public Comment and Recommendations</w:t>
      </w:r>
      <w:r w:rsidR="00D304A5">
        <w:rPr>
          <w:rFonts w:asciiTheme="majorHAnsi" w:hAnsiTheme="majorHAnsi"/>
          <w:b/>
          <w:sz w:val="28"/>
          <w:szCs w:val="28"/>
        </w:rPr>
        <w:t xml:space="preserve"> - </w:t>
      </w:r>
      <w:r w:rsidR="00D304A5" w:rsidRPr="000B41CD">
        <w:rPr>
          <w:rFonts w:asciiTheme="majorHAnsi" w:hAnsiTheme="majorHAnsi"/>
          <w:b/>
          <w:sz w:val="28"/>
          <w:szCs w:val="28"/>
        </w:rPr>
        <w:t>Cruise Operator COVID-19 Response Plans</w:t>
      </w:r>
    </w:p>
    <w:p w14:paraId="4CC12906" w14:textId="5DB4F9E9" w:rsidR="007D2A76" w:rsidRPr="000E1BC8" w:rsidRDefault="00985B21" w:rsidP="007D2A76">
      <w:pPr>
        <w:rPr>
          <w:rFonts w:asciiTheme="majorHAnsi" w:hAnsiTheme="majorHAnsi"/>
          <w:b/>
          <w:sz w:val="28"/>
          <w:szCs w:val="28"/>
        </w:rPr>
      </w:pPr>
      <w:r>
        <w:rPr>
          <w:rFonts w:asciiTheme="majorHAnsi" w:hAnsiTheme="majorHAnsi"/>
          <w:b/>
          <w:sz w:val="28"/>
          <w:szCs w:val="28"/>
        </w:rPr>
        <w:t>Comments</w:t>
      </w:r>
      <w:r w:rsidR="007D2A76" w:rsidRPr="000E1BC8">
        <w:rPr>
          <w:rFonts w:asciiTheme="majorHAnsi" w:hAnsiTheme="majorHAnsi"/>
          <w:b/>
          <w:sz w:val="28"/>
          <w:szCs w:val="28"/>
        </w:rPr>
        <w:t xml:space="preserve"> Due Date: </w:t>
      </w:r>
      <w:r w:rsidR="007D2A76" w:rsidRPr="000E1BC8">
        <w:rPr>
          <w:rFonts w:asciiTheme="majorHAnsi" w:hAnsiTheme="majorHAnsi"/>
          <w:b/>
          <w:sz w:val="28"/>
          <w:szCs w:val="28"/>
        </w:rPr>
        <w:tab/>
      </w:r>
      <w:r w:rsidR="007D2A76" w:rsidRPr="000E1BC8">
        <w:rPr>
          <w:rFonts w:asciiTheme="majorHAnsi" w:hAnsiTheme="majorHAnsi"/>
          <w:b/>
          <w:sz w:val="28"/>
          <w:szCs w:val="28"/>
        </w:rPr>
        <w:tab/>
      </w:r>
      <w:r w:rsidR="007D2A76" w:rsidRPr="000E1BC8">
        <w:rPr>
          <w:rFonts w:asciiTheme="majorHAnsi" w:hAnsiTheme="majorHAnsi"/>
          <w:b/>
          <w:sz w:val="28"/>
          <w:szCs w:val="28"/>
        </w:rPr>
        <w:tab/>
      </w:r>
      <w:r w:rsidR="007D2A76">
        <w:rPr>
          <w:rFonts w:asciiTheme="majorHAnsi" w:hAnsiTheme="majorHAnsi"/>
          <w:b/>
          <w:sz w:val="28"/>
          <w:szCs w:val="28"/>
        </w:rPr>
        <w:tab/>
      </w:r>
      <w:r>
        <w:rPr>
          <w:rFonts w:asciiTheme="majorHAnsi" w:hAnsiTheme="majorHAnsi"/>
          <w:b/>
          <w:sz w:val="28"/>
          <w:szCs w:val="28"/>
        </w:rPr>
        <w:t>October 27, 2020</w:t>
      </w:r>
      <w:r w:rsidR="007D2A76">
        <w:rPr>
          <w:rFonts w:asciiTheme="majorHAnsi" w:hAnsiTheme="majorHAnsi"/>
          <w:b/>
          <w:sz w:val="28"/>
          <w:szCs w:val="28"/>
        </w:rPr>
        <w:tab/>
      </w:r>
    </w:p>
    <w:p w14:paraId="6AEF608D" w14:textId="641D0C05" w:rsidR="007D2A76" w:rsidRPr="00A37355" w:rsidRDefault="00985B21" w:rsidP="007D2A76">
      <w:pPr>
        <w:rPr>
          <w:rFonts w:asciiTheme="majorHAnsi" w:hAnsiTheme="majorHAnsi"/>
          <w:b/>
          <w:sz w:val="28"/>
          <w:szCs w:val="28"/>
        </w:rPr>
      </w:pPr>
      <w:r w:rsidRPr="00985B21">
        <w:rPr>
          <w:rFonts w:asciiTheme="majorHAnsi" w:hAnsiTheme="majorHAnsi"/>
          <w:b/>
          <w:sz w:val="28"/>
          <w:szCs w:val="28"/>
        </w:rPr>
        <w:t>Docket N</w:t>
      </w:r>
      <w:r>
        <w:rPr>
          <w:rFonts w:asciiTheme="majorHAnsi" w:hAnsiTheme="majorHAnsi"/>
          <w:b/>
          <w:sz w:val="28"/>
          <w:szCs w:val="28"/>
        </w:rPr>
        <w:t>umber:</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985B21">
        <w:rPr>
          <w:rFonts w:asciiTheme="majorHAnsi" w:hAnsiTheme="majorHAnsi"/>
          <w:b/>
          <w:sz w:val="28"/>
          <w:szCs w:val="28"/>
        </w:rPr>
        <w:t>CDC-2019-0096</w:t>
      </w:r>
      <w:r w:rsidR="007D2A76" w:rsidRPr="000E1BC8">
        <w:rPr>
          <w:rFonts w:asciiTheme="majorHAnsi" w:hAnsiTheme="majorHAnsi"/>
          <w:b/>
        </w:rPr>
        <w:tab/>
      </w:r>
      <w:r w:rsidR="007D2A76" w:rsidRPr="000E1BC8">
        <w:rPr>
          <w:rFonts w:asciiTheme="majorHAnsi" w:hAnsiTheme="majorHAnsi"/>
          <w:b/>
        </w:rPr>
        <w:tab/>
      </w:r>
      <w:r w:rsidR="007D2A76">
        <w:rPr>
          <w:rFonts w:asciiTheme="majorHAnsi" w:hAnsiTheme="majorHAnsi"/>
          <w:b/>
        </w:rPr>
        <w:tab/>
      </w:r>
      <w:r w:rsidR="007D2A76">
        <w:rPr>
          <w:rFonts w:asciiTheme="majorHAnsi" w:hAnsiTheme="majorHAnsi"/>
          <w:b/>
        </w:rPr>
        <w:tab/>
      </w:r>
    </w:p>
    <w:p w14:paraId="7C57FF06" w14:textId="77777777" w:rsidR="007D2A76" w:rsidRPr="00904C7D" w:rsidRDefault="007D2A76" w:rsidP="007D2A76">
      <w:pPr>
        <w:rPr>
          <w:rFonts w:asciiTheme="majorHAnsi" w:hAnsiTheme="majorHAnsi"/>
          <w:b/>
        </w:rPr>
      </w:pPr>
    </w:p>
    <w:p w14:paraId="4AF676AC" w14:textId="77777777" w:rsidR="00985B21" w:rsidRPr="00985B21" w:rsidRDefault="007D2A76" w:rsidP="00985B21">
      <w:pPr>
        <w:rPr>
          <w:rFonts w:asciiTheme="majorHAnsi" w:hAnsiTheme="majorHAnsi" w:cs="Arial"/>
          <w:bCs/>
          <w:i/>
        </w:rPr>
      </w:pPr>
      <w:r w:rsidRPr="00904C7D">
        <w:rPr>
          <w:rFonts w:asciiTheme="majorHAnsi" w:hAnsiTheme="majorHAnsi" w:cs="Arial"/>
          <w:b/>
          <w:i/>
        </w:rPr>
        <w:t>Purpose:</w:t>
      </w:r>
      <w:r w:rsidRPr="00AC78DB">
        <w:rPr>
          <w:rFonts w:asciiTheme="majorHAnsi" w:hAnsiTheme="majorHAnsi" w:cs="Arial"/>
          <w:bCs/>
          <w:i/>
        </w:rPr>
        <w:t xml:space="preserve"> </w:t>
      </w:r>
      <w:r w:rsidR="00985B21" w:rsidRPr="00985B21">
        <w:rPr>
          <w:rFonts w:asciiTheme="majorHAnsi" w:hAnsiTheme="majorHAnsi" w:cs="Arial"/>
          <w:bCs/>
          <w:i/>
        </w:rPr>
        <w:t>The Centers for Disease Control and Prevention (CDC), as part of its continuing effort to reduce public burden and maximize the utility of government information, invites the general public and other Federal agencies the opportunity to comment on a proposed and/or continuing information collection, as required by the Paperwork Reduction Act of 1995. This notice invites comment on a proposed information collection project titled “Cruise Operator COVID-19 Response Plans,” which will provide CDC with the ability require cruise ship operators to submit plans outlining their response procedures for preventing the spread of COVID-19 onboard, and for preventing the use of scarce U.S. domestic resources in response to COVID-19 cases originating on cruise ships.</w:t>
      </w:r>
    </w:p>
    <w:p w14:paraId="56DF887B" w14:textId="6C3384EA" w:rsidR="007D2A76" w:rsidRPr="00E702B4" w:rsidRDefault="007D2A76" w:rsidP="007D2A76">
      <w:pPr>
        <w:rPr>
          <w:rFonts w:asciiTheme="majorHAnsi" w:hAnsiTheme="majorHAnsi" w:cs="Arial"/>
          <w:bCs/>
          <w:i/>
        </w:rPr>
      </w:pPr>
    </w:p>
    <w:p w14:paraId="77656CD3" w14:textId="41ADA41B" w:rsidR="00CD10E7" w:rsidRDefault="00985B21" w:rsidP="00507155">
      <w:pPr>
        <w:rPr>
          <w:rFonts w:asciiTheme="majorHAnsi" w:hAnsiTheme="majorHAnsi" w:cs="Arial"/>
          <w:bCs/>
          <w:i/>
        </w:rPr>
      </w:pPr>
      <w:r w:rsidRPr="00904C7D">
        <w:rPr>
          <w:rFonts w:asciiTheme="majorHAnsi" w:hAnsiTheme="majorHAnsi" w:cs="Arial"/>
          <w:b/>
          <w:i/>
        </w:rPr>
        <w:t>Contact:</w:t>
      </w:r>
      <w:r>
        <w:rPr>
          <w:rFonts w:asciiTheme="majorHAnsi" w:hAnsiTheme="majorHAnsi" w:cs="Arial"/>
          <w:bCs/>
          <w:i/>
        </w:rPr>
        <w:t xml:space="preserve"> </w:t>
      </w:r>
      <w:r w:rsidRPr="00985B21">
        <w:rPr>
          <w:rFonts w:asciiTheme="majorHAnsi" w:hAnsiTheme="majorHAnsi" w:cs="Arial"/>
          <w:bCs/>
          <w:i/>
        </w:rPr>
        <w:t xml:space="preserve">Jeffrey M. Zirger, of the Information Collection Review Start Printed Page 53375Office, Centers for Disease Control and Prevention, 1600 Clifton Road NE, MS-D74, Atlanta, Georgia 30329; phone: 404-639-7570; Email: </w:t>
      </w:r>
      <w:hyperlink r:id="rId12" w:history="1">
        <w:r w:rsidRPr="00F505E5">
          <w:rPr>
            <w:rStyle w:val="Hyperlink"/>
            <w:rFonts w:asciiTheme="majorHAnsi" w:hAnsiTheme="majorHAnsi" w:cs="Arial"/>
            <w:bCs/>
            <w:i/>
          </w:rPr>
          <w:t>omb@cdc.gov</w:t>
        </w:r>
      </w:hyperlink>
      <w:r w:rsidRPr="00985B21">
        <w:rPr>
          <w:rFonts w:asciiTheme="majorHAnsi" w:hAnsiTheme="majorHAnsi" w:cs="Arial"/>
          <w:bCs/>
          <w:i/>
        </w:rPr>
        <w:t>.</w:t>
      </w:r>
    </w:p>
    <w:p w14:paraId="3D7D73F4" w14:textId="10D630CF" w:rsidR="00985B21" w:rsidRDefault="00985B21" w:rsidP="00507155">
      <w:pPr>
        <w:rPr>
          <w:rFonts w:asciiTheme="majorHAnsi" w:hAnsiTheme="majorHAnsi" w:cs="Arial"/>
          <w:bCs/>
          <w:i/>
        </w:rPr>
      </w:pPr>
    </w:p>
    <w:p w14:paraId="041B2E86" w14:textId="137BBC0C" w:rsidR="00985B21" w:rsidRDefault="0089103E" w:rsidP="00507155">
      <w:pPr>
        <w:rPr>
          <w:rFonts w:asciiTheme="majorHAnsi" w:hAnsiTheme="majorHAnsi" w:cs="Arial"/>
          <w:bCs/>
          <w:i/>
        </w:rPr>
      </w:pPr>
      <w:hyperlink r:id="rId13" w:history="1">
        <w:r w:rsidR="00985B21" w:rsidRPr="00985B21">
          <w:rPr>
            <w:rStyle w:val="Hyperlink"/>
            <w:rFonts w:asciiTheme="majorHAnsi" w:hAnsiTheme="majorHAnsi" w:cs="Arial"/>
            <w:bCs/>
            <w:i/>
          </w:rPr>
          <w:t>https://www.federalregister.gov/documents/2020/08/28/2020-19010/proposed-data-collection-submitted-for-public-comment-and-recommendations</w:t>
        </w:r>
      </w:hyperlink>
    </w:p>
    <w:p w14:paraId="048596A6" w14:textId="5ABD065F" w:rsidR="00985B21" w:rsidRDefault="00985B21" w:rsidP="00507155">
      <w:pPr>
        <w:rPr>
          <w:rFonts w:asciiTheme="majorHAnsi" w:hAnsiTheme="majorHAnsi" w:cs="Arial"/>
          <w:bCs/>
          <w:i/>
        </w:rPr>
      </w:pPr>
    </w:p>
    <w:p w14:paraId="661D0A3A" w14:textId="77777777" w:rsidR="00204DE6" w:rsidRDefault="00204DE6" w:rsidP="00204DE6">
      <w:pPr>
        <w:rPr>
          <w:rFonts w:asciiTheme="majorHAnsi" w:hAnsiTheme="majorHAnsi"/>
          <w:b/>
          <w:sz w:val="28"/>
          <w:szCs w:val="28"/>
        </w:rPr>
      </w:pPr>
      <w:r w:rsidRPr="00204DE6">
        <w:rPr>
          <w:rFonts w:asciiTheme="majorHAnsi" w:hAnsiTheme="majorHAnsi"/>
          <w:b/>
          <w:sz w:val="28"/>
          <w:szCs w:val="28"/>
        </w:rPr>
        <w:t xml:space="preserve">Department of Health and Human Services – </w:t>
      </w:r>
      <w:r>
        <w:rPr>
          <w:rFonts w:asciiTheme="majorHAnsi" w:hAnsiTheme="majorHAnsi"/>
          <w:b/>
          <w:sz w:val="28"/>
          <w:szCs w:val="28"/>
        </w:rPr>
        <w:t xml:space="preserve">Food and Drug Administration - </w:t>
      </w:r>
      <w:r w:rsidRPr="00204DE6">
        <w:rPr>
          <w:rFonts w:asciiTheme="majorHAnsi" w:hAnsiTheme="majorHAnsi"/>
          <w:b/>
          <w:sz w:val="28"/>
          <w:szCs w:val="28"/>
        </w:rPr>
        <w:t>Vaccines and Related Biological Products Advisory Committee; Notice of Meeting</w:t>
      </w:r>
    </w:p>
    <w:p w14:paraId="0CE25185" w14:textId="66D67160" w:rsidR="00204DE6" w:rsidRPr="000E1BC8" w:rsidRDefault="00204DE6" w:rsidP="00204DE6">
      <w:pPr>
        <w:rPr>
          <w:rFonts w:asciiTheme="majorHAnsi" w:hAnsiTheme="majorHAnsi"/>
          <w:b/>
          <w:sz w:val="28"/>
          <w:szCs w:val="28"/>
        </w:rPr>
      </w:pPr>
      <w:r>
        <w:rPr>
          <w:rFonts w:asciiTheme="majorHAnsi" w:hAnsiTheme="majorHAnsi"/>
          <w:b/>
          <w:sz w:val="28"/>
          <w:szCs w:val="28"/>
        </w:rPr>
        <w:t xml:space="preserve">Meeting </w:t>
      </w:r>
      <w:r w:rsidRPr="000E1BC8">
        <w:rPr>
          <w:rFonts w:asciiTheme="majorHAnsi" w:hAnsiTheme="majorHAnsi"/>
          <w:b/>
          <w:sz w:val="28"/>
          <w:szCs w:val="28"/>
        </w:rPr>
        <w:t xml:space="preserve">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22, 2020</w:t>
      </w:r>
    </w:p>
    <w:p w14:paraId="17BD3D71" w14:textId="77777777" w:rsidR="00204DE6" w:rsidRPr="00904C7D" w:rsidRDefault="00204DE6" w:rsidP="00204DE6">
      <w:pPr>
        <w:rPr>
          <w:rFonts w:asciiTheme="majorHAnsi" w:hAnsiTheme="majorHAnsi" w:cs="Arial"/>
          <w:b/>
          <w:i/>
        </w:rPr>
      </w:pPr>
    </w:p>
    <w:p w14:paraId="07D28E1E" w14:textId="4BC858ED" w:rsidR="00204DE6" w:rsidRDefault="00204DE6" w:rsidP="00204DE6">
      <w:pPr>
        <w:rPr>
          <w:rFonts w:asciiTheme="majorHAnsi" w:hAnsiTheme="majorHAnsi" w:cs="Arial"/>
          <w:bCs/>
          <w:i/>
        </w:rPr>
      </w:pPr>
      <w:r w:rsidRPr="00904C7D">
        <w:rPr>
          <w:rFonts w:asciiTheme="majorHAnsi" w:hAnsiTheme="majorHAnsi" w:cs="Arial"/>
          <w:b/>
          <w:i/>
        </w:rPr>
        <w:t>Purpose:</w:t>
      </w:r>
      <w:r w:rsidRPr="00AC78DB">
        <w:rPr>
          <w:rFonts w:asciiTheme="majorHAnsi" w:hAnsiTheme="majorHAnsi" w:cs="Arial"/>
          <w:bCs/>
          <w:i/>
        </w:rPr>
        <w:t xml:space="preserve"> </w:t>
      </w:r>
      <w:r w:rsidRPr="00204DE6">
        <w:rPr>
          <w:rFonts w:asciiTheme="majorHAnsi" w:hAnsiTheme="majorHAnsi" w:cs="Arial"/>
          <w:bCs/>
          <w:i/>
        </w:rPr>
        <w:t>The meeting presentations will be heard, viewed, captioned, and recorded through an online teleconferencing platform. In open session, the committee will discuss, in general, the development, authorization and/or licensure of vaccines to prevent COVID-19. No specific application will be discussed at this meeting.</w:t>
      </w:r>
    </w:p>
    <w:p w14:paraId="600848E6" w14:textId="38E1805D" w:rsidR="00204DE6" w:rsidRDefault="00204DE6" w:rsidP="00204DE6">
      <w:pPr>
        <w:rPr>
          <w:rFonts w:asciiTheme="majorHAnsi" w:hAnsiTheme="majorHAnsi" w:cs="Arial"/>
          <w:bCs/>
          <w:i/>
        </w:rPr>
      </w:pPr>
    </w:p>
    <w:p w14:paraId="3E063D56" w14:textId="249B13AE" w:rsidR="00204DE6" w:rsidRDefault="00204DE6" w:rsidP="00204DE6">
      <w:pPr>
        <w:rPr>
          <w:rFonts w:asciiTheme="majorHAnsi" w:hAnsiTheme="majorHAnsi" w:cs="Arial"/>
          <w:bCs/>
          <w:i/>
        </w:rPr>
      </w:pPr>
      <w:r w:rsidRPr="00904C7D">
        <w:rPr>
          <w:rFonts w:asciiTheme="majorHAnsi" w:hAnsiTheme="majorHAnsi" w:cs="Arial"/>
          <w:b/>
          <w:i/>
        </w:rPr>
        <w:t>Contact:</w:t>
      </w:r>
      <w:r>
        <w:rPr>
          <w:rFonts w:asciiTheme="majorHAnsi" w:hAnsiTheme="majorHAnsi" w:cs="Arial"/>
          <w:bCs/>
          <w:i/>
        </w:rPr>
        <w:t xml:space="preserve"> </w:t>
      </w:r>
      <w:r w:rsidRPr="00204DE6">
        <w:rPr>
          <w:rFonts w:asciiTheme="majorHAnsi" w:hAnsiTheme="majorHAnsi" w:cs="Arial"/>
          <w:bCs/>
          <w:i/>
        </w:rPr>
        <w:t xml:space="preserve">Prabhakara Atreya or Monique Hill, Center for Biologics Evaluation and Research, Food and Drug Administration, 10903 New Hampshire Ave., Bldg. 71, Rm. 6306, Silver Spring, MD 20993-0002, 240-506-4946, </w:t>
      </w:r>
      <w:hyperlink r:id="rId14" w:history="1">
        <w:r w:rsidRPr="00F505E5">
          <w:rPr>
            <w:rStyle w:val="Hyperlink"/>
            <w:rFonts w:asciiTheme="majorHAnsi" w:hAnsiTheme="majorHAnsi" w:cs="Arial"/>
            <w:bCs/>
            <w:i/>
          </w:rPr>
          <w:t>Prabhakara.Atreya@fda.hhs.gov</w:t>
        </w:r>
      </w:hyperlink>
      <w:r>
        <w:rPr>
          <w:rFonts w:asciiTheme="majorHAnsi" w:hAnsiTheme="majorHAnsi" w:cs="Arial"/>
          <w:bCs/>
          <w:i/>
        </w:rPr>
        <w:t xml:space="preserve"> </w:t>
      </w:r>
      <w:r w:rsidRPr="00204DE6">
        <w:rPr>
          <w:rFonts w:asciiTheme="majorHAnsi" w:hAnsiTheme="majorHAnsi" w:cs="Arial"/>
          <w:bCs/>
          <w:i/>
        </w:rPr>
        <w:t xml:space="preserve"> or 301-796-4620, </w:t>
      </w:r>
      <w:hyperlink r:id="rId15" w:history="1">
        <w:r w:rsidRPr="00F505E5">
          <w:rPr>
            <w:rStyle w:val="Hyperlink"/>
            <w:rFonts w:asciiTheme="majorHAnsi" w:hAnsiTheme="majorHAnsi" w:cs="Arial"/>
            <w:bCs/>
            <w:i/>
          </w:rPr>
          <w:t>monique.hill@fda.hhs.gov</w:t>
        </w:r>
      </w:hyperlink>
    </w:p>
    <w:p w14:paraId="6C4EC630" w14:textId="25160052" w:rsidR="00204DE6" w:rsidRDefault="00204DE6" w:rsidP="00204DE6">
      <w:pPr>
        <w:rPr>
          <w:rFonts w:asciiTheme="majorHAnsi" w:hAnsiTheme="majorHAnsi" w:cs="Arial"/>
          <w:bCs/>
          <w:i/>
        </w:rPr>
      </w:pPr>
    </w:p>
    <w:p w14:paraId="6AB41052" w14:textId="3C1FFB94" w:rsidR="00204DE6" w:rsidRDefault="0089103E" w:rsidP="00204DE6">
      <w:pPr>
        <w:rPr>
          <w:rFonts w:asciiTheme="majorHAnsi" w:hAnsiTheme="majorHAnsi" w:cs="Arial"/>
          <w:bCs/>
          <w:i/>
        </w:rPr>
      </w:pPr>
      <w:hyperlink r:id="rId16" w:history="1">
        <w:r w:rsidR="00204DE6" w:rsidRPr="00F505E5">
          <w:rPr>
            <w:rStyle w:val="Hyperlink"/>
            <w:rFonts w:asciiTheme="majorHAnsi" w:hAnsiTheme="majorHAnsi" w:cs="Arial"/>
            <w:bCs/>
            <w:i/>
          </w:rPr>
          <w:t>https://www.federalregister.gov/documents/2020/08/28/2020-18985/vaccines-and-related-biological-products-advisory-committee-notice-of-meeting</w:t>
        </w:r>
      </w:hyperlink>
    </w:p>
    <w:p w14:paraId="7177FB80" w14:textId="55DCD4F1" w:rsidR="00204DE6" w:rsidRDefault="00204DE6" w:rsidP="00204DE6">
      <w:pPr>
        <w:rPr>
          <w:rFonts w:asciiTheme="majorHAnsi" w:hAnsiTheme="majorHAnsi" w:cs="Arial"/>
          <w:bCs/>
          <w:i/>
        </w:rPr>
      </w:pPr>
    </w:p>
    <w:p w14:paraId="1F996CA8" w14:textId="77777777" w:rsidR="00204DE6" w:rsidRDefault="00204DE6" w:rsidP="00204DE6">
      <w:pPr>
        <w:rPr>
          <w:rFonts w:asciiTheme="majorHAnsi" w:hAnsiTheme="majorHAnsi"/>
          <w:b/>
          <w:sz w:val="28"/>
          <w:szCs w:val="28"/>
        </w:rPr>
      </w:pPr>
      <w:r>
        <w:rPr>
          <w:rFonts w:asciiTheme="majorHAnsi" w:hAnsiTheme="majorHAnsi"/>
          <w:b/>
          <w:sz w:val="28"/>
          <w:szCs w:val="28"/>
        </w:rPr>
        <w:t xml:space="preserve">U.S. International Trade Commission - </w:t>
      </w:r>
      <w:r w:rsidRPr="00204DE6">
        <w:rPr>
          <w:rFonts w:asciiTheme="majorHAnsi" w:hAnsiTheme="majorHAnsi"/>
          <w:b/>
          <w:sz w:val="28"/>
          <w:szCs w:val="28"/>
        </w:rPr>
        <w:t>COVID-19 Related Goods: The U.S. Industry, Market, Trade, and Supply Chain Challenges; Notice of Institution of Investigation and Scheduling of a Public Hearing</w:t>
      </w:r>
    </w:p>
    <w:p w14:paraId="60929032" w14:textId="1A766431" w:rsidR="00204DE6" w:rsidRPr="007B2B27" w:rsidRDefault="00204DE6" w:rsidP="00204DE6">
      <w:pPr>
        <w:rPr>
          <w:rFonts w:asciiTheme="majorHAnsi" w:hAnsiTheme="majorHAnsi"/>
          <w:b/>
          <w:sz w:val="28"/>
          <w:szCs w:val="28"/>
        </w:rPr>
      </w:pPr>
      <w:r>
        <w:rPr>
          <w:rFonts w:asciiTheme="majorHAnsi" w:hAnsiTheme="majorHAnsi"/>
          <w:b/>
          <w:sz w:val="28"/>
          <w:szCs w:val="28"/>
        </w:rPr>
        <w:t>Hearing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904C7D">
        <w:rPr>
          <w:rFonts w:asciiTheme="majorHAnsi" w:hAnsiTheme="majorHAnsi"/>
          <w:b/>
          <w:sz w:val="28"/>
          <w:szCs w:val="28"/>
        </w:rPr>
        <w:t>September 23, 2020</w:t>
      </w:r>
      <w:r>
        <w:rPr>
          <w:rFonts w:asciiTheme="majorHAnsi" w:hAnsiTheme="majorHAnsi"/>
          <w:b/>
          <w:sz w:val="28"/>
          <w:szCs w:val="28"/>
        </w:rPr>
        <w:tab/>
      </w:r>
      <w:r>
        <w:rPr>
          <w:rFonts w:asciiTheme="majorHAnsi" w:hAnsiTheme="majorHAnsi"/>
          <w:b/>
          <w:sz w:val="28"/>
          <w:szCs w:val="28"/>
        </w:rPr>
        <w:tab/>
      </w:r>
    </w:p>
    <w:p w14:paraId="71B2B590" w14:textId="77777777" w:rsidR="00204DE6" w:rsidRDefault="00204DE6" w:rsidP="00204DE6">
      <w:pPr>
        <w:rPr>
          <w:rFonts w:asciiTheme="majorHAnsi" w:hAnsiTheme="majorHAnsi"/>
          <w:b/>
          <w:sz w:val="28"/>
          <w:szCs w:val="28"/>
        </w:rPr>
      </w:pPr>
    </w:p>
    <w:p w14:paraId="4E7D627C" w14:textId="77777777" w:rsidR="00204DE6" w:rsidRPr="00204DE6" w:rsidRDefault="00204DE6" w:rsidP="00204DE6">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204DE6">
        <w:rPr>
          <w:rFonts w:asciiTheme="majorHAnsi" w:hAnsiTheme="majorHAnsi" w:cs="Arial"/>
          <w:i/>
        </w:rPr>
        <w:t>Following receipt on August 13, 2020, of a joint request from the House Committee on Ways and Means and the Senate Committee on Finance (the Committees), under section 332(g) of the Tariff Act of 1930, the U.S. International Trade Commission (Commission) instituted Investigation No. 332-580, COVID-19 Related Goods: The U.S. Industry, Market, Trade, and Supply Chain Challenges, for the purpose of providing a report that provides detailed information on COVID-related industry sectors and particular products identified in Commission inv. No. 332-576, COVID-19 Related Goods, U.S. Imports and Tariffs.</w:t>
      </w:r>
    </w:p>
    <w:p w14:paraId="15DDA0C5" w14:textId="77777777" w:rsidR="00904C7D" w:rsidRDefault="00904C7D" w:rsidP="00904C7D">
      <w:pPr>
        <w:rPr>
          <w:rFonts w:asciiTheme="majorHAnsi" w:hAnsiTheme="majorHAnsi" w:cs="Arial"/>
          <w:i/>
        </w:rPr>
      </w:pPr>
    </w:p>
    <w:p w14:paraId="2E294671" w14:textId="6E678EC9" w:rsidR="00904C7D" w:rsidRPr="00904C7D" w:rsidRDefault="00904C7D" w:rsidP="00904C7D">
      <w:pPr>
        <w:rPr>
          <w:rFonts w:asciiTheme="majorHAnsi" w:hAnsiTheme="majorHAnsi" w:cs="Arial"/>
          <w:i/>
        </w:rPr>
      </w:pPr>
      <w:r>
        <w:rPr>
          <w:rFonts w:asciiTheme="majorHAnsi" w:hAnsiTheme="majorHAnsi" w:cs="Arial"/>
          <w:i/>
        </w:rPr>
        <w:t>S</w:t>
      </w:r>
      <w:r w:rsidRPr="00904C7D">
        <w:rPr>
          <w:rFonts w:asciiTheme="majorHAnsi" w:hAnsiTheme="majorHAnsi" w:cs="Arial"/>
          <w:i/>
        </w:rPr>
        <w:t>eptember 11, 2020: Deadline for filing requests to appear at the public hearing.</w:t>
      </w:r>
    </w:p>
    <w:p w14:paraId="00802044" w14:textId="77777777" w:rsidR="00904C7D" w:rsidRPr="00904C7D" w:rsidRDefault="00904C7D" w:rsidP="00904C7D">
      <w:pPr>
        <w:rPr>
          <w:rFonts w:asciiTheme="majorHAnsi" w:hAnsiTheme="majorHAnsi" w:cs="Arial"/>
          <w:i/>
        </w:rPr>
      </w:pPr>
      <w:r w:rsidRPr="00904C7D">
        <w:rPr>
          <w:rFonts w:asciiTheme="majorHAnsi" w:hAnsiTheme="majorHAnsi" w:cs="Arial"/>
          <w:i/>
        </w:rPr>
        <w:t>September 14, 2020: Deadline for filing prehearing briefs and statements.</w:t>
      </w:r>
    </w:p>
    <w:p w14:paraId="34110EE9" w14:textId="77777777" w:rsidR="00904C7D" w:rsidRPr="00904C7D" w:rsidRDefault="00904C7D" w:rsidP="00904C7D">
      <w:pPr>
        <w:rPr>
          <w:rFonts w:asciiTheme="majorHAnsi" w:hAnsiTheme="majorHAnsi" w:cs="Arial"/>
          <w:i/>
        </w:rPr>
      </w:pPr>
      <w:r w:rsidRPr="00904C7D">
        <w:rPr>
          <w:rFonts w:asciiTheme="majorHAnsi" w:hAnsiTheme="majorHAnsi" w:cs="Arial"/>
          <w:i/>
        </w:rPr>
        <w:t>September 21, 2020: Deadline for filing copies of oral testimony to be presented at the hearing.</w:t>
      </w:r>
    </w:p>
    <w:p w14:paraId="7D90959D" w14:textId="77777777" w:rsidR="00904C7D" w:rsidRPr="00904C7D" w:rsidRDefault="00904C7D" w:rsidP="00904C7D">
      <w:pPr>
        <w:rPr>
          <w:rFonts w:asciiTheme="majorHAnsi" w:hAnsiTheme="majorHAnsi" w:cs="Arial"/>
          <w:i/>
        </w:rPr>
      </w:pPr>
      <w:r w:rsidRPr="00904C7D">
        <w:rPr>
          <w:rFonts w:asciiTheme="majorHAnsi" w:hAnsiTheme="majorHAnsi" w:cs="Arial"/>
          <w:i/>
        </w:rPr>
        <w:t>September 23, 2020: Public hearing.</w:t>
      </w:r>
    </w:p>
    <w:p w14:paraId="5F86E4F6" w14:textId="77777777" w:rsidR="00904C7D" w:rsidRPr="00904C7D" w:rsidRDefault="00904C7D" w:rsidP="00904C7D">
      <w:pPr>
        <w:rPr>
          <w:rFonts w:asciiTheme="majorHAnsi" w:hAnsiTheme="majorHAnsi" w:cs="Arial"/>
          <w:i/>
        </w:rPr>
      </w:pPr>
      <w:r w:rsidRPr="00904C7D">
        <w:rPr>
          <w:rFonts w:asciiTheme="majorHAnsi" w:hAnsiTheme="majorHAnsi" w:cs="Arial"/>
          <w:i/>
        </w:rPr>
        <w:t>September 30, 2020: Deadline for filing post-hearing briefs and statements.</w:t>
      </w:r>
    </w:p>
    <w:p w14:paraId="140EF973" w14:textId="77777777" w:rsidR="00904C7D" w:rsidRPr="00904C7D" w:rsidRDefault="00904C7D" w:rsidP="00904C7D">
      <w:pPr>
        <w:rPr>
          <w:rFonts w:asciiTheme="majorHAnsi" w:hAnsiTheme="majorHAnsi" w:cs="Arial"/>
          <w:i/>
        </w:rPr>
      </w:pPr>
      <w:r w:rsidRPr="00904C7D">
        <w:rPr>
          <w:rFonts w:asciiTheme="majorHAnsi" w:hAnsiTheme="majorHAnsi" w:cs="Arial"/>
          <w:i/>
        </w:rPr>
        <w:t>October 2, 2020: Deadline for filing all other written submissions.</w:t>
      </w:r>
    </w:p>
    <w:p w14:paraId="6FEC48A0" w14:textId="7D206B19" w:rsidR="00204DE6" w:rsidRDefault="00904C7D" w:rsidP="00904C7D">
      <w:pPr>
        <w:rPr>
          <w:rFonts w:asciiTheme="majorHAnsi" w:hAnsiTheme="majorHAnsi" w:cs="Arial"/>
          <w:i/>
        </w:rPr>
      </w:pPr>
      <w:r w:rsidRPr="00904C7D">
        <w:rPr>
          <w:rFonts w:asciiTheme="majorHAnsi" w:hAnsiTheme="majorHAnsi" w:cs="Arial"/>
          <w:i/>
        </w:rPr>
        <w:t>December 15, 2020: Transmittal of Commission report to the Committees.</w:t>
      </w:r>
    </w:p>
    <w:p w14:paraId="56AB10F1" w14:textId="77777777" w:rsidR="00204DE6" w:rsidRDefault="00204DE6" w:rsidP="00204DE6">
      <w:pPr>
        <w:rPr>
          <w:rFonts w:asciiTheme="majorHAnsi" w:hAnsiTheme="majorHAnsi" w:cs="Arial"/>
          <w:i/>
        </w:rPr>
      </w:pPr>
    </w:p>
    <w:p w14:paraId="7BB5E043" w14:textId="69486C03" w:rsidR="00204DE6" w:rsidRDefault="00204DE6" w:rsidP="00204DE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904C7D" w:rsidRPr="00904C7D">
        <w:rPr>
          <w:rFonts w:asciiTheme="majorHAnsi" w:hAnsiTheme="majorHAnsi" w:cs="Arial"/>
          <w:bCs/>
          <w:i/>
        </w:rPr>
        <w:t xml:space="preserve">Co-Project Leader Samantha DeCarlo (202-205-3165 or </w:t>
      </w:r>
      <w:hyperlink r:id="rId17" w:history="1">
        <w:r w:rsidR="00904C7D" w:rsidRPr="00F505E5">
          <w:rPr>
            <w:rStyle w:val="Hyperlink"/>
            <w:rFonts w:asciiTheme="majorHAnsi" w:hAnsiTheme="majorHAnsi" w:cs="Arial"/>
            <w:bCs/>
            <w:i/>
          </w:rPr>
          <w:t>samantha.decarlo@usitc.gov</w:t>
        </w:r>
      </w:hyperlink>
      <w:r w:rsidR="00904C7D" w:rsidRPr="00904C7D">
        <w:rPr>
          <w:rFonts w:asciiTheme="majorHAnsi" w:hAnsiTheme="majorHAnsi" w:cs="Arial"/>
          <w:bCs/>
          <w:i/>
        </w:rPr>
        <w:t xml:space="preserve">) or Co-Project Leader Andrew David (202-205-3368 or </w:t>
      </w:r>
      <w:hyperlink r:id="rId18" w:history="1">
        <w:r w:rsidR="00904C7D" w:rsidRPr="00F505E5">
          <w:rPr>
            <w:rStyle w:val="Hyperlink"/>
            <w:rFonts w:asciiTheme="majorHAnsi" w:hAnsiTheme="majorHAnsi" w:cs="Arial"/>
            <w:bCs/>
            <w:i/>
          </w:rPr>
          <w:t>andrew.david@usitc.gov</w:t>
        </w:r>
      </w:hyperlink>
    </w:p>
    <w:p w14:paraId="78A3D391" w14:textId="1A64A554" w:rsidR="00904C7D" w:rsidRDefault="00904C7D" w:rsidP="00204DE6">
      <w:pPr>
        <w:rPr>
          <w:rFonts w:asciiTheme="majorHAnsi" w:hAnsiTheme="majorHAnsi" w:cs="Arial"/>
          <w:bCs/>
          <w:i/>
        </w:rPr>
      </w:pPr>
    </w:p>
    <w:p w14:paraId="2227531F" w14:textId="04748DAD" w:rsidR="00904C7D" w:rsidRDefault="0089103E" w:rsidP="00204DE6">
      <w:pPr>
        <w:rPr>
          <w:rFonts w:asciiTheme="majorHAnsi" w:hAnsiTheme="majorHAnsi" w:cs="Arial"/>
          <w:bCs/>
          <w:i/>
        </w:rPr>
      </w:pPr>
      <w:hyperlink r:id="rId19" w:history="1">
        <w:r w:rsidR="00904C7D" w:rsidRPr="00904C7D">
          <w:rPr>
            <w:rStyle w:val="Hyperlink"/>
            <w:rFonts w:asciiTheme="majorHAnsi" w:hAnsiTheme="majorHAnsi" w:cs="Arial"/>
            <w:bCs/>
            <w:i/>
          </w:rPr>
          <w:t>https://www.federalregister.gov/documents/2020/08/26/2020-18796/covid-19-related-goods-the-us-industry-market-trade-and-supply-chain-challenges-notice-of</w:t>
        </w:r>
      </w:hyperlink>
    </w:p>
    <w:p w14:paraId="33A2C5FA" w14:textId="77777777" w:rsidR="00204DE6" w:rsidRDefault="00204DE6" w:rsidP="00204DE6">
      <w:pPr>
        <w:rPr>
          <w:rFonts w:asciiTheme="majorHAnsi" w:hAnsiTheme="majorHAnsi"/>
          <w:b/>
          <w:sz w:val="28"/>
          <w:szCs w:val="28"/>
        </w:rPr>
      </w:pPr>
    </w:p>
    <w:p w14:paraId="20AA55E3" w14:textId="77777777" w:rsidR="00985B21" w:rsidRDefault="00985B21" w:rsidP="00507155">
      <w:pPr>
        <w:rPr>
          <w:rFonts w:asciiTheme="majorHAnsi" w:hAnsiTheme="majorHAnsi" w:cs="Arial"/>
          <w:bCs/>
          <w:i/>
        </w:rPr>
      </w:pPr>
    </w:p>
    <w:sectPr w:rsidR="00985B21" w:rsidSect="000E1BC8">
      <w:headerReference w:type="even" r:id="rId20"/>
      <w:headerReference w:type="default" r:id="rId21"/>
      <w:footerReference w:type="even" r:id="rId22"/>
      <w:footerReference w:type="default" r:id="rId23"/>
      <w:headerReference w:type="first" r:id="rId24"/>
      <w:footerReference w:type="first" r:id="rId2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6935E" w14:textId="77777777" w:rsidR="0089103E" w:rsidRDefault="0089103E" w:rsidP="004E16D0">
      <w:r>
        <w:separator/>
      </w:r>
    </w:p>
  </w:endnote>
  <w:endnote w:type="continuationSeparator" w:id="0">
    <w:p w14:paraId="65D66127" w14:textId="77777777" w:rsidR="0089103E" w:rsidRDefault="0089103E"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C4CC" w14:textId="77777777" w:rsidR="00860558" w:rsidRDefault="0086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AB16" w14:textId="77777777" w:rsidR="00860558" w:rsidRDefault="0086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FE1A" w14:textId="77777777" w:rsidR="00860558" w:rsidRDefault="0086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CF70B" w14:textId="77777777" w:rsidR="0089103E" w:rsidRDefault="0089103E" w:rsidP="004E16D0">
      <w:r>
        <w:separator/>
      </w:r>
    </w:p>
  </w:footnote>
  <w:footnote w:type="continuationSeparator" w:id="0">
    <w:p w14:paraId="06D4C8D1" w14:textId="77777777" w:rsidR="0089103E" w:rsidRDefault="0089103E"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5EC6" w14:textId="77777777" w:rsidR="00363E90" w:rsidRDefault="0089103E">
    <w:pPr>
      <w:pStyle w:val="Header"/>
    </w:pPr>
    <w:r>
      <w:rPr>
        <w:noProof/>
      </w:rPr>
      <w:pict w14:anchorId="296C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3B57" w14:textId="77777777" w:rsidR="00363E90" w:rsidRDefault="0089103E">
    <w:pPr>
      <w:pStyle w:val="Header"/>
    </w:pPr>
    <w:r>
      <w:rPr>
        <w:noProof/>
      </w:rPr>
      <w:pict w14:anchorId="0E9D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4D4CE" w14:textId="77777777" w:rsidR="00363E90" w:rsidRDefault="0089103E">
    <w:pPr>
      <w:pStyle w:val="Header"/>
    </w:pPr>
    <w:r>
      <w:rPr>
        <w:noProof/>
      </w:rPr>
      <w:pict w14:anchorId="6E12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2E6E"/>
    <w:multiLevelType w:val="hybridMultilevel"/>
    <w:tmpl w:val="EB70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4A6D"/>
    <w:multiLevelType w:val="hybridMultilevel"/>
    <w:tmpl w:val="E36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4F85"/>
    <w:multiLevelType w:val="hybridMultilevel"/>
    <w:tmpl w:val="B8C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D2F39"/>
    <w:multiLevelType w:val="hybridMultilevel"/>
    <w:tmpl w:val="B8D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745C7"/>
    <w:multiLevelType w:val="hybridMultilevel"/>
    <w:tmpl w:val="28C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A6233"/>
    <w:multiLevelType w:val="hybridMultilevel"/>
    <w:tmpl w:val="7E62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D0D94"/>
    <w:multiLevelType w:val="hybridMultilevel"/>
    <w:tmpl w:val="DFB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5722F"/>
    <w:multiLevelType w:val="hybridMultilevel"/>
    <w:tmpl w:val="9F3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53115"/>
    <w:multiLevelType w:val="hybridMultilevel"/>
    <w:tmpl w:val="4E82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72A76"/>
    <w:multiLevelType w:val="hybridMultilevel"/>
    <w:tmpl w:val="7D5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97983"/>
    <w:multiLevelType w:val="hybridMultilevel"/>
    <w:tmpl w:val="812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F5AF2"/>
    <w:multiLevelType w:val="hybridMultilevel"/>
    <w:tmpl w:val="641E27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2FB4B3C"/>
    <w:multiLevelType w:val="hybridMultilevel"/>
    <w:tmpl w:val="37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42C68"/>
    <w:multiLevelType w:val="hybridMultilevel"/>
    <w:tmpl w:val="83C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63D78"/>
    <w:multiLevelType w:val="hybridMultilevel"/>
    <w:tmpl w:val="BBB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84905"/>
    <w:multiLevelType w:val="hybridMultilevel"/>
    <w:tmpl w:val="1B7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A6731"/>
    <w:multiLevelType w:val="hybridMultilevel"/>
    <w:tmpl w:val="95A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97968"/>
    <w:multiLevelType w:val="hybridMultilevel"/>
    <w:tmpl w:val="3DB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62786"/>
    <w:multiLevelType w:val="hybridMultilevel"/>
    <w:tmpl w:val="687E2E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15:restartNumberingAfterBreak="0">
    <w:nsid w:val="4C577C7B"/>
    <w:multiLevelType w:val="hybridMultilevel"/>
    <w:tmpl w:val="BB4E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D17AA"/>
    <w:multiLevelType w:val="hybridMultilevel"/>
    <w:tmpl w:val="309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55B05"/>
    <w:multiLevelType w:val="hybridMultilevel"/>
    <w:tmpl w:val="AB2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84ED2"/>
    <w:multiLevelType w:val="hybridMultilevel"/>
    <w:tmpl w:val="1B6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721AD"/>
    <w:multiLevelType w:val="hybridMultilevel"/>
    <w:tmpl w:val="3D16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F36E8"/>
    <w:multiLevelType w:val="hybridMultilevel"/>
    <w:tmpl w:val="4BFA32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5FA100F4"/>
    <w:multiLevelType w:val="hybridMultilevel"/>
    <w:tmpl w:val="D092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27249"/>
    <w:multiLevelType w:val="hybridMultilevel"/>
    <w:tmpl w:val="4E0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B3BDE"/>
    <w:multiLevelType w:val="hybridMultilevel"/>
    <w:tmpl w:val="34B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B1C3B"/>
    <w:multiLevelType w:val="hybridMultilevel"/>
    <w:tmpl w:val="70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A11CF"/>
    <w:multiLevelType w:val="hybridMultilevel"/>
    <w:tmpl w:val="B0F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23FA8"/>
    <w:multiLevelType w:val="hybridMultilevel"/>
    <w:tmpl w:val="8F9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15"/>
  </w:num>
  <w:num w:numId="5">
    <w:abstractNumId w:val="16"/>
  </w:num>
  <w:num w:numId="6">
    <w:abstractNumId w:val="28"/>
  </w:num>
  <w:num w:numId="7">
    <w:abstractNumId w:val="10"/>
  </w:num>
  <w:num w:numId="8">
    <w:abstractNumId w:val="2"/>
  </w:num>
  <w:num w:numId="9">
    <w:abstractNumId w:val="26"/>
  </w:num>
  <w:num w:numId="10">
    <w:abstractNumId w:val="21"/>
  </w:num>
  <w:num w:numId="11">
    <w:abstractNumId w:val="6"/>
  </w:num>
  <w:num w:numId="12">
    <w:abstractNumId w:val="18"/>
  </w:num>
  <w:num w:numId="13">
    <w:abstractNumId w:val="20"/>
  </w:num>
  <w:num w:numId="14">
    <w:abstractNumId w:val="22"/>
  </w:num>
  <w:num w:numId="15">
    <w:abstractNumId w:val="27"/>
  </w:num>
  <w:num w:numId="16">
    <w:abstractNumId w:val="14"/>
  </w:num>
  <w:num w:numId="17">
    <w:abstractNumId w:val="7"/>
  </w:num>
  <w:num w:numId="18">
    <w:abstractNumId w:val="23"/>
  </w:num>
  <w:num w:numId="19">
    <w:abstractNumId w:val="25"/>
  </w:num>
  <w:num w:numId="20">
    <w:abstractNumId w:val="3"/>
  </w:num>
  <w:num w:numId="21">
    <w:abstractNumId w:val="12"/>
  </w:num>
  <w:num w:numId="22">
    <w:abstractNumId w:val="29"/>
  </w:num>
  <w:num w:numId="23">
    <w:abstractNumId w:val="0"/>
  </w:num>
  <w:num w:numId="24">
    <w:abstractNumId w:val="5"/>
  </w:num>
  <w:num w:numId="25">
    <w:abstractNumId w:val="30"/>
  </w:num>
  <w:num w:numId="26">
    <w:abstractNumId w:val="1"/>
  </w:num>
  <w:num w:numId="27">
    <w:abstractNumId w:val="24"/>
  </w:num>
  <w:num w:numId="28">
    <w:abstractNumId w:val="19"/>
  </w:num>
  <w:num w:numId="29">
    <w:abstractNumId w:val="8"/>
  </w:num>
  <w:num w:numId="30">
    <w:abstractNumId w:val="9"/>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005BD"/>
    <w:rsid w:val="0000111B"/>
    <w:rsid w:val="000012FC"/>
    <w:rsid w:val="000016F7"/>
    <w:rsid w:val="00001BE0"/>
    <w:rsid w:val="00001E2B"/>
    <w:rsid w:val="0000227A"/>
    <w:rsid w:val="00002293"/>
    <w:rsid w:val="000024EF"/>
    <w:rsid w:val="00002AF7"/>
    <w:rsid w:val="0000314E"/>
    <w:rsid w:val="0000396A"/>
    <w:rsid w:val="0000433F"/>
    <w:rsid w:val="0000436C"/>
    <w:rsid w:val="000044D9"/>
    <w:rsid w:val="000045AF"/>
    <w:rsid w:val="0000463A"/>
    <w:rsid w:val="000050A5"/>
    <w:rsid w:val="000052A2"/>
    <w:rsid w:val="00006B2E"/>
    <w:rsid w:val="00006FE4"/>
    <w:rsid w:val="00007186"/>
    <w:rsid w:val="00007A4E"/>
    <w:rsid w:val="00007FF5"/>
    <w:rsid w:val="00010B04"/>
    <w:rsid w:val="0001126B"/>
    <w:rsid w:val="000121A0"/>
    <w:rsid w:val="00012859"/>
    <w:rsid w:val="00012DA3"/>
    <w:rsid w:val="00013A94"/>
    <w:rsid w:val="00013B7B"/>
    <w:rsid w:val="00014A4F"/>
    <w:rsid w:val="00014A7B"/>
    <w:rsid w:val="00014B8F"/>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3015D"/>
    <w:rsid w:val="0003197A"/>
    <w:rsid w:val="00031C53"/>
    <w:rsid w:val="00031F6B"/>
    <w:rsid w:val="000320E3"/>
    <w:rsid w:val="00032592"/>
    <w:rsid w:val="00033C18"/>
    <w:rsid w:val="000341D9"/>
    <w:rsid w:val="00034454"/>
    <w:rsid w:val="00034C71"/>
    <w:rsid w:val="00034E64"/>
    <w:rsid w:val="000350A7"/>
    <w:rsid w:val="0003556A"/>
    <w:rsid w:val="00035806"/>
    <w:rsid w:val="00037312"/>
    <w:rsid w:val="00037385"/>
    <w:rsid w:val="0003780E"/>
    <w:rsid w:val="000379DB"/>
    <w:rsid w:val="00037EF7"/>
    <w:rsid w:val="0004024B"/>
    <w:rsid w:val="00040EE7"/>
    <w:rsid w:val="000414A0"/>
    <w:rsid w:val="00042370"/>
    <w:rsid w:val="000426B2"/>
    <w:rsid w:val="0004478E"/>
    <w:rsid w:val="000451DF"/>
    <w:rsid w:val="000452F1"/>
    <w:rsid w:val="00046120"/>
    <w:rsid w:val="0004675D"/>
    <w:rsid w:val="0004703B"/>
    <w:rsid w:val="00047D6D"/>
    <w:rsid w:val="00050895"/>
    <w:rsid w:val="00050A1E"/>
    <w:rsid w:val="000519C1"/>
    <w:rsid w:val="000519D3"/>
    <w:rsid w:val="00051C02"/>
    <w:rsid w:val="00051DA9"/>
    <w:rsid w:val="000520C7"/>
    <w:rsid w:val="00052E91"/>
    <w:rsid w:val="00052FC0"/>
    <w:rsid w:val="00054655"/>
    <w:rsid w:val="000547B7"/>
    <w:rsid w:val="00054E21"/>
    <w:rsid w:val="00055F60"/>
    <w:rsid w:val="00056A0B"/>
    <w:rsid w:val="00057364"/>
    <w:rsid w:val="00057D7D"/>
    <w:rsid w:val="00060B63"/>
    <w:rsid w:val="000611B7"/>
    <w:rsid w:val="000616D1"/>
    <w:rsid w:val="000624F3"/>
    <w:rsid w:val="00062C38"/>
    <w:rsid w:val="00063950"/>
    <w:rsid w:val="00063AD6"/>
    <w:rsid w:val="0006411F"/>
    <w:rsid w:val="00064586"/>
    <w:rsid w:val="000650BD"/>
    <w:rsid w:val="000652D7"/>
    <w:rsid w:val="0006532B"/>
    <w:rsid w:val="000656F3"/>
    <w:rsid w:val="00065774"/>
    <w:rsid w:val="00066D4B"/>
    <w:rsid w:val="00066E4C"/>
    <w:rsid w:val="00067463"/>
    <w:rsid w:val="00067843"/>
    <w:rsid w:val="00067A6C"/>
    <w:rsid w:val="00067FEA"/>
    <w:rsid w:val="00070771"/>
    <w:rsid w:val="00071404"/>
    <w:rsid w:val="00071839"/>
    <w:rsid w:val="0007195E"/>
    <w:rsid w:val="000720C1"/>
    <w:rsid w:val="0007225A"/>
    <w:rsid w:val="000728B5"/>
    <w:rsid w:val="00073168"/>
    <w:rsid w:val="0007402C"/>
    <w:rsid w:val="00074109"/>
    <w:rsid w:val="00075673"/>
    <w:rsid w:val="00076F63"/>
    <w:rsid w:val="000774CA"/>
    <w:rsid w:val="00077EF6"/>
    <w:rsid w:val="00080118"/>
    <w:rsid w:val="00080A85"/>
    <w:rsid w:val="0008148F"/>
    <w:rsid w:val="000820CB"/>
    <w:rsid w:val="00083156"/>
    <w:rsid w:val="000831D0"/>
    <w:rsid w:val="0008325F"/>
    <w:rsid w:val="000832F8"/>
    <w:rsid w:val="000834DA"/>
    <w:rsid w:val="000838E8"/>
    <w:rsid w:val="00084097"/>
    <w:rsid w:val="0008455B"/>
    <w:rsid w:val="00084E5D"/>
    <w:rsid w:val="000852A2"/>
    <w:rsid w:val="000856F6"/>
    <w:rsid w:val="00085A56"/>
    <w:rsid w:val="00086352"/>
    <w:rsid w:val="000869DB"/>
    <w:rsid w:val="000875E1"/>
    <w:rsid w:val="00087783"/>
    <w:rsid w:val="00087DBF"/>
    <w:rsid w:val="00090088"/>
    <w:rsid w:val="000908F0"/>
    <w:rsid w:val="00090929"/>
    <w:rsid w:val="000909FE"/>
    <w:rsid w:val="000916E3"/>
    <w:rsid w:val="00091C0A"/>
    <w:rsid w:val="00093282"/>
    <w:rsid w:val="00093D72"/>
    <w:rsid w:val="00095135"/>
    <w:rsid w:val="00095432"/>
    <w:rsid w:val="0009562D"/>
    <w:rsid w:val="00096958"/>
    <w:rsid w:val="0009747B"/>
    <w:rsid w:val="00097CFF"/>
    <w:rsid w:val="000A0C77"/>
    <w:rsid w:val="000A1415"/>
    <w:rsid w:val="000A2E12"/>
    <w:rsid w:val="000A2E5C"/>
    <w:rsid w:val="000A37C5"/>
    <w:rsid w:val="000A4960"/>
    <w:rsid w:val="000A51F7"/>
    <w:rsid w:val="000A7E2B"/>
    <w:rsid w:val="000A7F4B"/>
    <w:rsid w:val="000B0096"/>
    <w:rsid w:val="000B03DD"/>
    <w:rsid w:val="000B0E93"/>
    <w:rsid w:val="000B37B2"/>
    <w:rsid w:val="000B3AA4"/>
    <w:rsid w:val="000B3C44"/>
    <w:rsid w:val="000B3DB7"/>
    <w:rsid w:val="000B54EA"/>
    <w:rsid w:val="000B5EA6"/>
    <w:rsid w:val="000B68C8"/>
    <w:rsid w:val="000C0432"/>
    <w:rsid w:val="000C0AAF"/>
    <w:rsid w:val="000C169E"/>
    <w:rsid w:val="000C18AC"/>
    <w:rsid w:val="000C2264"/>
    <w:rsid w:val="000C278E"/>
    <w:rsid w:val="000C33F3"/>
    <w:rsid w:val="000C3E94"/>
    <w:rsid w:val="000C50B2"/>
    <w:rsid w:val="000C55B8"/>
    <w:rsid w:val="000C6117"/>
    <w:rsid w:val="000C70A9"/>
    <w:rsid w:val="000C76AC"/>
    <w:rsid w:val="000C79AE"/>
    <w:rsid w:val="000C7D59"/>
    <w:rsid w:val="000D1FDA"/>
    <w:rsid w:val="000D2024"/>
    <w:rsid w:val="000D28A2"/>
    <w:rsid w:val="000D2942"/>
    <w:rsid w:val="000D304A"/>
    <w:rsid w:val="000D37B5"/>
    <w:rsid w:val="000D3CF8"/>
    <w:rsid w:val="000D4368"/>
    <w:rsid w:val="000D45EC"/>
    <w:rsid w:val="000D5794"/>
    <w:rsid w:val="000D6309"/>
    <w:rsid w:val="000D6CE1"/>
    <w:rsid w:val="000D7771"/>
    <w:rsid w:val="000E0F28"/>
    <w:rsid w:val="000E1BC8"/>
    <w:rsid w:val="000E35F9"/>
    <w:rsid w:val="000E3646"/>
    <w:rsid w:val="000E3A68"/>
    <w:rsid w:val="000E3AD6"/>
    <w:rsid w:val="000E400E"/>
    <w:rsid w:val="000E4041"/>
    <w:rsid w:val="000E4128"/>
    <w:rsid w:val="000E5334"/>
    <w:rsid w:val="000E57E4"/>
    <w:rsid w:val="000E58F6"/>
    <w:rsid w:val="000E659B"/>
    <w:rsid w:val="000E66AE"/>
    <w:rsid w:val="000E7F26"/>
    <w:rsid w:val="000F00F9"/>
    <w:rsid w:val="000F145D"/>
    <w:rsid w:val="000F2422"/>
    <w:rsid w:val="000F25F2"/>
    <w:rsid w:val="000F2CEC"/>
    <w:rsid w:val="000F399E"/>
    <w:rsid w:val="000F4D0A"/>
    <w:rsid w:val="000F7375"/>
    <w:rsid w:val="000F7FE2"/>
    <w:rsid w:val="00101096"/>
    <w:rsid w:val="001012B0"/>
    <w:rsid w:val="001012B3"/>
    <w:rsid w:val="00101370"/>
    <w:rsid w:val="001021F2"/>
    <w:rsid w:val="0010267B"/>
    <w:rsid w:val="00103226"/>
    <w:rsid w:val="00104905"/>
    <w:rsid w:val="0010514B"/>
    <w:rsid w:val="0010526F"/>
    <w:rsid w:val="0010644D"/>
    <w:rsid w:val="00106B2C"/>
    <w:rsid w:val="001070FC"/>
    <w:rsid w:val="00107781"/>
    <w:rsid w:val="00107907"/>
    <w:rsid w:val="001100B5"/>
    <w:rsid w:val="00110739"/>
    <w:rsid w:val="001112D9"/>
    <w:rsid w:val="00113714"/>
    <w:rsid w:val="0011381E"/>
    <w:rsid w:val="00113DA8"/>
    <w:rsid w:val="00113E0A"/>
    <w:rsid w:val="001148FF"/>
    <w:rsid w:val="00115345"/>
    <w:rsid w:val="00116086"/>
    <w:rsid w:val="00116407"/>
    <w:rsid w:val="0011705C"/>
    <w:rsid w:val="0011714B"/>
    <w:rsid w:val="001175F9"/>
    <w:rsid w:val="001207FE"/>
    <w:rsid w:val="0012088D"/>
    <w:rsid w:val="00120B4B"/>
    <w:rsid w:val="00121B9E"/>
    <w:rsid w:val="0012247A"/>
    <w:rsid w:val="001224EA"/>
    <w:rsid w:val="0012390E"/>
    <w:rsid w:val="00124738"/>
    <w:rsid w:val="00125F46"/>
    <w:rsid w:val="001264A3"/>
    <w:rsid w:val="00126D51"/>
    <w:rsid w:val="00127F31"/>
    <w:rsid w:val="00130081"/>
    <w:rsid w:val="001310C5"/>
    <w:rsid w:val="001314AA"/>
    <w:rsid w:val="00131B14"/>
    <w:rsid w:val="00131C71"/>
    <w:rsid w:val="00131DEA"/>
    <w:rsid w:val="00132210"/>
    <w:rsid w:val="00133131"/>
    <w:rsid w:val="00133AC5"/>
    <w:rsid w:val="00133F62"/>
    <w:rsid w:val="001350AA"/>
    <w:rsid w:val="00136C66"/>
    <w:rsid w:val="00136CDC"/>
    <w:rsid w:val="00136EDA"/>
    <w:rsid w:val="00140D0D"/>
    <w:rsid w:val="00140E09"/>
    <w:rsid w:val="00140E90"/>
    <w:rsid w:val="001417A3"/>
    <w:rsid w:val="001420B9"/>
    <w:rsid w:val="00142153"/>
    <w:rsid w:val="001423DA"/>
    <w:rsid w:val="00142433"/>
    <w:rsid w:val="00142C4D"/>
    <w:rsid w:val="001434E5"/>
    <w:rsid w:val="00144401"/>
    <w:rsid w:val="0014448C"/>
    <w:rsid w:val="00144A2D"/>
    <w:rsid w:val="00144C8F"/>
    <w:rsid w:val="0014573B"/>
    <w:rsid w:val="001457D3"/>
    <w:rsid w:val="00145FDC"/>
    <w:rsid w:val="001465D5"/>
    <w:rsid w:val="00146B20"/>
    <w:rsid w:val="00147129"/>
    <w:rsid w:val="00147C77"/>
    <w:rsid w:val="0015039D"/>
    <w:rsid w:val="001512A8"/>
    <w:rsid w:val="00151FED"/>
    <w:rsid w:val="00152FF6"/>
    <w:rsid w:val="00153653"/>
    <w:rsid w:val="00153677"/>
    <w:rsid w:val="00153E31"/>
    <w:rsid w:val="00153E53"/>
    <w:rsid w:val="00154903"/>
    <w:rsid w:val="00154E5E"/>
    <w:rsid w:val="00155CD8"/>
    <w:rsid w:val="00156711"/>
    <w:rsid w:val="00157278"/>
    <w:rsid w:val="00157513"/>
    <w:rsid w:val="0016242F"/>
    <w:rsid w:val="00162AD0"/>
    <w:rsid w:val="00162CE7"/>
    <w:rsid w:val="0016320C"/>
    <w:rsid w:val="001643C6"/>
    <w:rsid w:val="0016500A"/>
    <w:rsid w:val="00165887"/>
    <w:rsid w:val="001664CB"/>
    <w:rsid w:val="00166BF0"/>
    <w:rsid w:val="00166F04"/>
    <w:rsid w:val="0016796F"/>
    <w:rsid w:val="00167B2B"/>
    <w:rsid w:val="00167FF0"/>
    <w:rsid w:val="00170A3C"/>
    <w:rsid w:val="00170A7C"/>
    <w:rsid w:val="00170D07"/>
    <w:rsid w:val="00170F87"/>
    <w:rsid w:val="0017173D"/>
    <w:rsid w:val="0017213D"/>
    <w:rsid w:val="00172C49"/>
    <w:rsid w:val="00173B94"/>
    <w:rsid w:val="00173EF5"/>
    <w:rsid w:val="00174368"/>
    <w:rsid w:val="00175078"/>
    <w:rsid w:val="00175315"/>
    <w:rsid w:val="00175947"/>
    <w:rsid w:val="001760CA"/>
    <w:rsid w:val="00176DE9"/>
    <w:rsid w:val="001779EE"/>
    <w:rsid w:val="00177BF3"/>
    <w:rsid w:val="001804BB"/>
    <w:rsid w:val="00181102"/>
    <w:rsid w:val="001811A2"/>
    <w:rsid w:val="001825E1"/>
    <w:rsid w:val="00182703"/>
    <w:rsid w:val="00184307"/>
    <w:rsid w:val="00184363"/>
    <w:rsid w:val="001846B4"/>
    <w:rsid w:val="00184D83"/>
    <w:rsid w:val="00185D1C"/>
    <w:rsid w:val="00190180"/>
    <w:rsid w:val="00190F91"/>
    <w:rsid w:val="001919D9"/>
    <w:rsid w:val="00191E25"/>
    <w:rsid w:val="00192274"/>
    <w:rsid w:val="0019281A"/>
    <w:rsid w:val="00192C79"/>
    <w:rsid w:val="00192D89"/>
    <w:rsid w:val="00193FC7"/>
    <w:rsid w:val="0019425D"/>
    <w:rsid w:val="0019460A"/>
    <w:rsid w:val="001947D3"/>
    <w:rsid w:val="00195F7C"/>
    <w:rsid w:val="0019634F"/>
    <w:rsid w:val="0019655A"/>
    <w:rsid w:val="0019665B"/>
    <w:rsid w:val="00196680"/>
    <w:rsid w:val="00196ACF"/>
    <w:rsid w:val="0019752F"/>
    <w:rsid w:val="0019756A"/>
    <w:rsid w:val="001A0E10"/>
    <w:rsid w:val="001A2E79"/>
    <w:rsid w:val="001A2E83"/>
    <w:rsid w:val="001A3AEA"/>
    <w:rsid w:val="001A4701"/>
    <w:rsid w:val="001A4E7B"/>
    <w:rsid w:val="001A5B3B"/>
    <w:rsid w:val="001A5D22"/>
    <w:rsid w:val="001A63BB"/>
    <w:rsid w:val="001A799B"/>
    <w:rsid w:val="001B009A"/>
    <w:rsid w:val="001B028A"/>
    <w:rsid w:val="001B02B7"/>
    <w:rsid w:val="001B0620"/>
    <w:rsid w:val="001B0C91"/>
    <w:rsid w:val="001B1102"/>
    <w:rsid w:val="001B13E8"/>
    <w:rsid w:val="001B17FB"/>
    <w:rsid w:val="001B1DFD"/>
    <w:rsid w:val="001B3C4B"/>
    <w:rsid w:val="001B4A1C"/>
    <w:rsid w:val="001B4A5A"/>
    <w:rsid w:val="001B4B05"/>
    <w:rsid w:val="001B4ED3"/>
    <w:rsid w:val="001B53F8"/>
    <w:rsid w:val="001B5C91"/>
    <w:rsid w:val="001B63EB"/>
    <w:rsid w:val="001C1B54"/>
    <w:rsid w:val="001C1CC4"/>
    <w:rsid w:val="001C1FF6"/>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9A0"/>
    <w:rsid w:val="001D6E2B"/>
    <w:rsid w:val="001D7068"/>
    <w:rsid w:val="001E0906"/>
    <w:rsid w:val="001E1656"/>
    <w:rsid w:val="001E3180"/>
    <w:rsid w:val="001E333B"/>
    <w:rsid w:val="001E3701"/>
    <w:rsid w:val="001E3F10"/>
    <w:rsid w:val="001E43D7"/>
    <w:rsid w:val="001E558E"/>
    <w:rsid w:val="001E5716"/>
    <w:rsid w:val="001E6093"/>
    <w:rsid w:val="001E68D7"/>
    <w:rsid w:val="001E6967"/>
    <w:rsid w:val="001E76CB"/>
    <w:rsid w:val="001F043C"/>
    <w:rsid w:val="001F0889"/>
    <w:rsid w:val="001F0EA2"/>
    <w:rsid w:val="001F229C"/>
    <w:rsid w:val="001F23E6"/>
    <w:rsid w:val="001F2A63"/>
    <w:rsid w:val="001F2E54"/>
    <w:rsid w:val="001F3567"/>
    <w:rsid w:val="001F35A8"/>
    <w:rsid w:val="001F3621"/>
    <w:rsid w:val="001F423F"/>
    <w:rsid w:val="001F4657"/>
    <w:rsid w:val="001F485B"/>
    <w:rsid w:val="001F4A46"/>
    <w:rsid w:val="001F4E94"/>
    <w:rsid w:val="001F59E3"/>
    <w:rsid w:val="001F6293"/>
    <w:rsid w:val="001F6833"/>
    <w:rsid w:val="001F6F90"/>
    <w:rsid w:val="001F7B5D"/>
    <w:rsid w:val="001F7F60"/>
    <w:rsid w:val="0020091E"/>
    <w:rsid w:val="002014E4"/>
    <w:rsid w:val="00201C14"/>
    <w:rsid w:val="00201F14"/>
    <w:rsid w:val="0020262B"/>
    <w:rsid w:val="002027CF"/>
    <w:rsid w:val="00203B5B"/>
    <w:rsid w:val="002040BA"/>
    <w:rsid w:val="002044D9"/>
    <w:rsid w:val="00204DE6"/>
    <w:rsid w:val="0020558D"/>
    <w:rsid w:val="00205A4B"/>
    <w:rsid w:val="002064CE"/>
    <w:rsid w:val="0020651B"/>
    <w:rsid w:val="00207026"/>
    <w:rsid w:val="00207A9A"/>
    <w:rsid w:val="00207E41"/>
    <w:rsid w:val="00207E78"/>
    <w:rsid w:val="00210828"/>
    <w:rsid w:val="00210D3D"/>
    <w:rsid w:val="00211476"/>
    <w:rsid w:val="00212606"/>
    <w:rsid w:val="0021280F"/>
    <w:rsid w:val="0021373E"/>
    <w:rsid w:val="0021423E"/>
    <w:rsid w:val="002153C0"/>
    <w:rsid w:val="002159C0"/>
    <w:rsid w:val="00215FBE"/>
    <w:rsid w:val="00216A4A"/>
    <w:rsid w:val="00216B55"/>
    <w:rsid w:val="00216F5D"/>
    <w:rsid w:val="00217221"/>
    <w:rsid w:val="00217D8E"/>
    <w:rsid w:val="00220A98"/>
    <w:rsid w:val="0022115E"/>
    <w:rsid w:val="002218A4"/>
    <w:rsid w:val="00221C59"/>
    <w:rsid w:val="00223226"/>
    <w:rsid w:val="00223A42"/>
    <w:rsid w:val="00223C5C"/>
    <w:rsid w:val="002245EF"/>
    <w:rsid w:val="00224A33"/>
    <w:rsid w:val="002252DF"/>
    <w:rsid w:val="00225512"/>
    <w:rsid w:val="0022599D"/>
    <w:rsid w:val="002264AE"/>
    <w:rsid w:val="002265D4"/>
    <w:rsid w:val="00226FE2"/>
    <w:rsid w:val="0022785C"/>
    <w:rsid w:val="002307D1"/>
    <w:rsid w:val="002311EE"/>
    <w:rsid w:val="00231347"/>
    <w:rsid w:val="002315E9"/>
    <w:rsid w:val="002316E9"/>
    <w:rsid w:val="00231CAA"/>
    <w:rsid w:val="002333F5"/>
    <w:rsid w:val="002339A0"/>
    <w:rsid w:val="002345A5"/>
    <w:rsid w:val="002345B4"/>
    <w:rsid w:val="002348C8"/>
    <w:rsid w:val="00235415"/>
    <w:rsid w:val="0023545A"/>
    <w:rsid w:val="00235961"/>
    <w:rsid w:val="00235C19"/>
    <w:rsid w:val="00236A02"/>
    <w:rsid w:val="0023734F"/>
    <w:rsid w:val="002379A1"/>
    <w:rsid w:val="00237C0D"/>
    <w:rsid w:val="002403CB"/>
    <w:rsid w:val="0024112A"/>
    <w:rsid w:val="00241407"/>
    <w:rsid w:val="00241F6F"/>
    <w:rsid w:val="00242DDB"/>
    <w:rsid w:val="0024318B"/>
    <w:rsid w:val="00243643"/>
    <w:rsid w:val="00243753"/>
    <w:rsid w:val="0024414D"/>
    <w:rsid w:val="00244507"/>
    <w:rsid w:val="002451FD"/>
    <w:rsid w:val="0024523E"/>
    <w:rsid w:val="00245DCC"/>
    <w:rsid w:val="002462E2"/>
    <w:rsid w:val="0024662D"/>
    <w:rsid w:val="00246650"/>
    <w:rsid w:val="0024674F"/>
    <w:rsid w:val="00246817"/>
    <w:rsid w:val="002468D4"/>
    <w:rsid w:val="00246E21"/>
    <w:rsid w:val="00247137"/>
    <w:rsid w:val="002476D0"/>
    <w:rsid w:val="00247A0F"/>
    <w:rsid w:val="00247DBB"/>
    <w:rsid w:val="00250339"/>
    <w:rsid w:val="002503F1"/>
    <w:rsid w:val="002508C3"/>
    <w:rsid w:val="00250901"/>
    <w:rsid w:val="00250D63"/>
    <w:rsid w:val="00251121"/>
    <w:rsid w:val="0025237E"/>
    <w:rsid w:val="002528E8"/>
    <w:rsid w:val="00252C6B"/>
    <w:rsid w:val="00253136"/>
    <w:rsid w:val="00253A3F"/>
    <w:rsid w:val="00253E6E"/>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2F7F"/>
    <w:rsid w:val="00263ED9"/>
    <w:rsid w:val="0026429E"/>
    <w:rsid w:val="0026450D"/>
    <w:rsid w:val="00265C71"/>
    <w:rsid w:val="002668EA"/>
    <w:rsid w:val="002675FE"/>
    <w:rsid w:val="00267700"/>
    <w:rsid w:val="002700B0"/>
    <w:rsid w:val="00270711"/>
    <w:rsid w:val="00270901"/>
    <w:rsid w:val="002714C5"/>
    <w:rsid w:val="00271C1A"/>
    <w:rsid w:val="00271E6B"/>
    <w:rsid w:val="0027216B"/>
    <w:rsid w:val="00272367"/>
    <w:rsid w:val="00272463"/>
    <w:rsid w:val="0027255D"/>
    <w:rsid w:val="00272948"/>
    <w:rsid w:val="00272CA7"/>
    <w:rsid w:val="00272E44"/>
    <w:rsid w:val="0027418C"/>
    <w:rsid w:val="00275029"/>
    <w:rsid w:val="0027575F"/>
    <w:rsid w:val="00275D3C"/>
    <w:rsid w:val="00275EEE"/>
    <w:rsid w:val="002764C9"/>
    <w:rsid w:val="00277484"/>
    <w:rsid w:val="00277532"/>
    <w:rsid w:val="00277A58"/>
    <w:rsid w:val="00280749"/>
    <w:rsid w:val="00280BBB"/>
    <w:rsid w:val="00280C2D"/>
    <w:rsid w:val="00281C1E"/>
    <w:rsid w:val="0028227B"/>
    <w:rsid w:val="0028323E"/>
    <w:rsid w:val="00283C58"/>
    <w:rsid w:val="00284935"/>
    <w:rsid w:val="0028497D"/>
    <w:rsid w:val="00284E87"/>
    <w:rsid w:val="00284FCF"/>
    <w:rsid w:val="002851F5"/>
    <w:rsid w:val="00285510"/>
    <w:rsid w:val="00285702"/>
    <w:rsid w:val="00285F16"/>
    <w:rsid w:val="002871B9"/>
    <w:rsid w:val="002871E5"/>
    <w:rsid w:val="002874F7"/>
    <w:rsid w:val="00287DEB"/>
    <w:rsid w:val="0029004A"/>
    <w:rsid w:val="00290C64"/>
    <w:rsid w:val="00291E80"/>
    <w:rsid w:val="00291FEB"/>
    <w:rsid w:val="00292A8A"/>
    <w:rsid w:val="0029338C"/>
    <w:rsid w:val="002948EA"/>
    <w:rsid w:val="00294BBB"/>
    <w:rsid w:val="00295B55"/>
    <w:rsid w:val="00295F3B"/>
    <w:rsid w:val="00296443"/>
    <w:rsid w:val="00297118"/>
    <w:rsid w:val="002978B8"/>
    <w:rsid w:val="00297A30"/>
    <w:rsid w:val="00297BDF"/>
    <w:rsid w:val="002A068C"/>
    <w:rsid w:val="002A0A0E"/>
    <w:rsid w:val="002A14CF"/>
    <w:rsid w:val="002A15FA"/>
    <w:rsid w:val="002A1841"/>
    <w:rsid w:val="002A1B6C"/>
    <w:rsid w:val="002A30B5"/>
    <w:rsid w:val="002A34AA"/>
    <w:rsid w:val="002A35AB"/>
    <w:rsid w:val="002A3FD1"/>
    <w:rsid w:val="002A428B"/>
    <w:rsid w:val="002A45FB"/>
    <w:rsid w:val="002A6601"/>
    <w:rsid w:val="002A664F"/>
    <w:rsid w:val="002A7495"/>
    <w:rsid w:val="002B2119"/>
    <w:rsid w:val="002B215E"/>
    <w:rsid w:val="002B2A6E"/>
    <w:rsid w:val="002B322B"/>
    <w:rsid w:val="002B36D7"/>
    <w:rsid w:val="002B4D21"/>
    <w:rsid w:val="002B507B"/>
    <w:rsid w:val="002B56BB"/>
    <w:rsid w:val="002B6E73"/>
    <w:rsid w:val="002B71DC"/>
    <w:rsid w:val="002B7377"/>
    <w:rsid w:val="002B7698"/>
    <w:rsid w:val="002C0310"/>
    <w:rsid w:val="002C036B"/>
    <w:rsid w:val="002C06CA"/>
    <w:rsid w:val="002C0C6D"/>
    <w:rsid w:val="002C0CD3"/>
    <w:rsid w:val="002C140C"/>
    <w:rsid w:val="002C1582"/>
    <w:rsid w:val="002C1C71"/>
    <w:rsid w:val="002C1EC1"/>
    <w:rsid w:val="002C21CB"/>
    <w:rsid w:val="002C23C9"/>
    <w:rsid w:val="002C2FA6"/>
    <w:rsid w:val="002C30D6"/>
    <w:rsid w:val="002C30DC"/>
    <w:rsid w:val="002C3396"/>
    <w:rsid w:val="002C34BF"/>
    <w:rsid w:val="002C43B5"/>
    <w:rsid w:val="002C4918"/>
    <w:rsid w:val="002C49E3"/>
    <w:rsid w:val="002C4C70"/>
    <w:rsid w:val="002C55E9"/>
    <w:rsid w:val="002C6385"/>
    <w:rsid w:val="002C71C9"/>
    <w:rsid w:val="002D1A4B"/>
    <w:rsid w:val="002D1A9F"/>
    <w:rsid w:val="002D1BA9"/>
    <w:rsid w:val="002D21B3"/>
    <w:rsid w:val="002D30EB"/>
    <w:rsid w:val="002D3151"/>
    <w:rsid w:val="002D3200"/>
    <w:rsid w:val="002D344A"/>
    <w:rsid w:val="002D370B"/>
    <w:rsid w:val="002D394B"/>
    <w:rsid w:val="002D3CF9"/>
    <w:rsid w:val="002D44DE"/>
    <w:rsid w:val="002D4729"/>
    <w:rsid w:val="002D564F"/>
    <w:rsid w:val="002D5D9D"/>
    <w:rsid w:val="002D6120"/>
    <w:rsid w:val="002D69F8"/>
    <w:rsid w:val="002D6B1B"/>
    <w:rsid w:val="002D6D8F"/>
    <w:rsid w:val="002D74C4"/>
    <w:rsid w:val="002E02BF"/>
    <w:rsid w:val="002E062C"/>
    <w:rsid w:val="002E06D6"/>
    <w:rsid w:val="002E0BE4"/>
    <w:rsid w:val="002E0E2B"/>
    <w:rsid w:val="002E101D"/>
    <w:rsid w:val="002E1533"/>
    <w:rsid w:val="002E1F01"/>
    <w:rsid w:val="002E31EF"/>
    <w:rsid w:val="002E35AC"/>
    <w:rsid w:val="002E394A"/>
    <w:rsid w:val="002E4849"/>
    <w:rsid w:val="002E4B35"/>
    <w:rsid w:val="002E4EC1"/>
    <w:rsid w:val="002E4EDF"/>
    <w:rsid w:val="002E5D7C"/>
    <w:rsid w:val="002E67D8"/>
    <w:rsid w:val="002E6C1A"/>
    <w:rsid w:val="002E6F15"/>
    <w:rsid w:val="002E7C55"/>
    <w:rsid w:val="002F1813"/>
    <w:rsid w:val="002F1D66"/>
    <w:rsid w:val="002F23D0"/>
    <w:rsid w:val="002F39FE"/>
    <w:rsid w:val="002F42BD"/>
    <w:rsid w:val="002F4765"/>
    <w:rsid w:val="002F4E15"/>
    <w:rsid w:val="002F5137"/>
    <w:rsid w:val="002F60DB"/>
    <w:rsid w:val="002F755E"/>
    <w:rsid w:val="00300664"/>
    <w:rsid w:val="003006ED"/>
    <w:rsid w:val="00301999"/>
    <w:rsid w:val="0030286E"/>
    <w:rsid w:val="0030453F"/>
    <w:rsid w:val="0030461F"/>
    <w:rsid w:val="0030482C"/>
    <w:rsid w:val="00304DFE"/>
    <w:rsid w:val="00306712"/>
    <w:rsid w:val="00306773"/>
    <w:rsid w:val="0030796A"/>
    <w:rsid w:val="00310FF2"/>
    <w:rsid w:val="00311012"/>
    <w:rsid w:val="0031226F"/>
    <w:rsid w:val="00312CFD"/>
    <w:rsid w:val="00312E97"/>
    <w:rsid w:val="00313375"/>
    <w:rsid w:val="00313825"/>
    <w:rsid w:val="00313B96"/>
    <w:rsid w:val="00314950"/>
    <w:rsid w:val="00314A4C"/>
    <w:rsid w:val="00316638"/>
    <w:rsid w:val="00317BFF"/>
    <w:rsid w:val="00317C9F"/>
    <w:rsid w:val="00320213"/>
    <w:rsid w:val="003204B6"/>
    <w:rsid w:val="003204D0"/>
    <w:rsid w:val="0032052A"/>
    <w:rsid w:val="00322D95"/>
    <w:rsid w:val="00322E8A"/>
    <w:rsid w:val="00323F94"/>
    <w:rsid w:val="00324734"/>
    <w:rsid w:val="00324FA1"/>
    <w:rsid w:val="00325114"/>
    <w:rsid w:val="00325153"/>
    <w:rsid w:val="003255BC"/>
    <w:rsid w:val="0032585D"/>
    <w:rsid w:val="00325C9F"/>
    <w:rsid w:val="003260CB"/>
    <w:rsid w:val="00326972"/>
    <w:rsid w:val="00326D8F"/>
    <w:rsid w:val="0032709F"/>
    <w:rsid w:val="0032757A"/>
    <w:rsid w:val="0032769B"/>
    <w:rsid w:val="00330FFD"/>
    <w:rsid w:val="003314FA"/>
    <w:rsid w:val="00332200"/>
    <w:rsid w:val="00333895"/>
    <w:rsid w:val="003343E1"/>
    <w:rsid w:val="00334C0A"/>
    <w:rsid w:val="003352D3"/>
    <w:rsid w:val="00335B2E"/>
    <w:rsid w:val="00336098"/>
    <w:rsid w:val="003365B8"/>
    <w:rsid w:val="00336869"/>
    <w:rsid w:val="00336D8F"/>
    <w:rsid w:val="0033700E"/>
    <w:rsid w:val="003370DE"/>
    <w:rsid w:val="0034001D"/>
    <w:rsid w:val="003406F7"/>
    <w:rsid w:val="00340855"/>
    <w:rsid w:val="00340A52"/>
    <w:rsid w:val="003413D9"/>
    <w:rsid w:val="00341776"/>
    <w:rsid w:val="00342CC1"/>
    <w:rsid w:val="003438DD"/>
    <w:rsid w:val="00344548"/>
    <w:rsid w:val="0034476A"/>
    <w:rsid w:val="00344896"/>
    <w:rsid w:val="003449FB"/>
    <w:rsid w:val="00345790"/>
    <w:rsid w:val="00345D37"/>
    <w:rsid w:val="00345E34"/>
    <w:rsid w:val="00346251"/>
    <w:rsid w:val="0034627A"/>
    <w:rsid w:val="00346F05"/>
    <w:rsid w:val="00347260"/>
    <w:rsid w:val="00347397"/>
    <w:rsid w:val="00347ECC"/>
    <w:rsid w:val="00350276"/>
    <w:rsid w:val="00350415"/>
    <w:rsid w:val="00350A84"/>
    <w:rsid w:val="00350D9C"/>
    <w:rsid w:val="0035101B"/>
    <w:rsid w:val="003510E9"/>
    <w:rsid w:val="003516B4"/>
    <w:rsid w:val="003516C6"/>
    <w:rsid w:val="003516FC"/>
    <w:rsid w:val="003518BB"/>
    <w:rsid w:val="00352230"/>
    <w:rsid w:val="00352712"/>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4913"/>
    <w:rsid w:val="003654C7"/>
    <w:rsid w:val="003656F9"/>
    <w:rsid w:val="00366AC4"/>
    <w:rsid w:val="00366E68"/>
    <w:rsid w:val="0036766F"/>
    <w:rsid w:val="00367D78"/>
    <w:rsid w:val="00367EBE"/>
    <w:rsid w:val="00370076"/>
    <w:rsid w:val="00370AC9"/>
    <w:rsid w:val="00370DA6"/>
    <w:rsid w:val="00371BBF"/>
    <w:rsid w:val="0037206C"/>
    <w:rsid w:val="003720CD"/>
    <w:rsid w:val="00372D19"/>
    <w:rsid w:val="00372E6A"/>
    <w:rsid w:val="00374A2E"/>
    <w:rsid w:val="00374BCE"/>
    <w:rsid w:val="0037613B"/>
    <w:rsid w:val="0037662E"/>
    <w:rsid w:val="00376CA8"/>
    <w:rsid w:val="00376E31"/>
    <w:rsid w:val="00376F66"/>
    <w:rsid w:val="00377026"/>
    <w:rsid w:val="0037726A"/>
    <w:rsid w:val="00377E5C"/>
    <w:rsid w:val="00380046"/>
    <w:rsid w:val="003809DD"/>
    <w:rsid w:val="00381107"/>
    <w:rsid w:val="00381154"/>
    <w:rsid w:val="00383346"/>
    <w:rsid w:val="003839B0"/>
    <w:rsid w:val="00383EDA"/>
    <w:rsid w:val="003844A7"/>
    <w:rsid w:val="00384E21"/>
    <w:rsid w:val="0038610C"/>
    <w:rsid w:val="003862D5"/>
    <w:rsid w:val="00386503"/>
    <w:rsid w:val="0038765C"/>
    <w:rsid w:val="0039160B"/>
    <w:rsid w:val="00391652"/>
    <w:rsid w:val="003916BC"/>
    <w:rsid w:val="00392249"/>
    <w:rsid w:val="0039276B"/>
    <w:rsid w:val="003928A1"/>
    <w:rsid w:val="00393AE3"/>
    <w:rsid w:val="00393BFE"/>
    <w:rsid w:val="00393CFD"/>
    <w:rsid w:val="00394D90"/>
    <w:rsid w:val="00394FC5"/>
    <w:rsid w:val="00395C9E"/>
    <w:rsid w:val="0039609B"/>
    <w:rsid w:val="00396699"/>
    <w:rsid w:val="00396F81"/>
    <w:rsid w:val="00396FEA"/>
    <w:rsid w:val="00397203"/>
    <w:rsid w:val="00397343"/>
    <w:rsid w:val="003978FD"/>
    <w:rsid w:val="00397969"/>
    <w:rsid w:val="003979C6"/>
    <w:rsid w:val="003A0C16"/>
    <w:rsid w:val="003A0F85"/>
    <w:rsid w:val="003A245D"/>
    <w:rsid w:val="003A2DE1"/>
    <w:rsid w:val="003A3A9D"/>
    <w:rsid w:val="003A4646"/>
    <w:rsid w:val="003A5057"/>
    <w:rsid w:val="003A529F"/>
    <w:rsid w:val="003A5337"/>
    <w:rsid w:val="003A55FA"/>
    <w:rsid w:val="003A5E4F"/>
    <w:rsid w:val="003A66A8"/>
    <w:rsid w:val="003B0FF6"/>
    <w:rsid w:val="003B1028"/>
    <w:rsid w:val="003B1121"/>
    <w:rsid w:val="003B1420"/>
    <w:rsid w:val="003B2252"/>
    <w:rsid w:val="003B2C3C"/>
    <w:rsid w:val="003B2FFC"/>
    <w:rsid w:val="003B4381"/>
    <w:rsid w:val="003B49AA"/>
    <w:rsid w:val="003B50E6"/>
    <w:rsid w:val="003B52E4"/>
    <w:rsid w:val="003C0958"/>
    <w:rsid w:val="003C0CFD"/>
    <w:rsid w:val="003C0FDF"/>
    <w:rsid w:val="003C13D7"/>
    <w:rsid w:val="003C1599"/>
    <w:rsid w:val="003C2764"/>
    <w:rsid w:val="003C2E25"/>
    <w:rsid w:val="003C3A0B"/>
    <w:rsid w:val="003C4549"/>
    <w:rsid w:val="003C5182"/>
    <w:rsid w:val="003C5D3C"/>
    <w:rsid w:val="003C65E3"/>
    <w:rsid w:val="003C6D41"/>
    <w:rsid w:val="003C6F94"/>
    <w:rsid w:val="003D06A1"/>
    <w:rsid w:val="003D0921"/>
    <w:rsid w:val="003D0F96"/>
    <w:rsid w:val="003D15EA"/>
    <w:rsid w:val="003D18AF"/>
    <w:rsid w:val="003D1D2C"/>
    <w:rsid w:val="003D24EA"/>
    <w:rsid w:val="003D2DE0"/>
    <w:rsid w:val="003D31B1"/>
    <w:rsid w:val="003D4EA6"/>
    <w:rsid w:val="003D53ED"/>
    <w:rsid w:val="003D5A31"/>
    <w:rsid w:val="003D5FF6"/>
    <w:rsid w:val="003D70B9"/>
    <w:rsid w:val="003D7A33"/>
    <w:rsid w:val="003D7F0C"/>
    <w:rsid w:val="003E002B"/>
    <w:rsid w:val="003E0414"/>
    <w:rsid w:val="003E1209"/>
    <w:rsid w:val="003E1373"/>
    <w:rsid w:val="003E3C6C"/>
    <w:rsid w:val="003E47DD"/>
    <w:rsid w:val="003E532C"/>
    <w:rsid w:val="003E65DB"/>
    <w:rsid w:val="003E6887"/>
    <w:rsid w:val="003E74B9"/>
    <w:rsid w:val="003E7696"/>
    <w:rsid w:val="003E7CA8"/>
    <w:rsid w:val="003F06B8"/>
    <w:rsid w:val="003F09E5"/>
    <w:rsid w:val="003F2092"/>
    <w:rsid w:val="003F2352"/>
    <w:rsid w:val="003F2463"/>
    <w:rsid w:val="003F25E8"/>
    <w:rsid w:val="003F26C7"/>
    <w:rsid w:val="003F35B2"/>
    <w:rsid w:val="003F37D3"/>
    <w:rsid w:val="003F3BEE"/>
    <w:rsid w:val="003F3DDA"/>
    <w:rsid w:val="003F4BF6"/>
    <w:rsid w:val="003F568F"/>
    <w:rsid w:val="003F5B8B"/>
    <w:rsid w:val="003F6A97"/>
    <w:rsid w:val="003F7004"/>
    <w:rsid w:val="003F71A1"/>
    <w:rsid w:val="003F731D"/>
    <w:rsid w:val="003F7609"/>
    <w:rsid w:val="00400429"/>
    <w:rsid w:val="004005C9"/>
    <w:rsid w:val="00400F2A"/>
    <w:rsid w:val="004010DC"/>
    <w:rsid w:val="00401F3F"/>
    <w:rsid w:val="0040247E"/>
    <w:rsid w:val="004026A7"/>
    <w:rsid w:val="00402F0F"/>
    <w:rsid w:val="0040346E"/>
    <w:rsid w:val="0040388D"/>
    <w:rsid w:val="00403E10"/>
    <w:rsid w:val="0040437F"/>
    <w:rsid w:val="00404529"/>
    <w:rsid w:val="004057DD"/>
    <w:rsid w:val="00405898"/>
    <w:rsid w:val="00405C9C"/>
    <w:rsid w:val="00405F1D"/>
    <w:rsid w:val="00406716"/>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9BC"/>
    <w:rsid w:val="00414C6A"/>
    <w:rsid w:val="00414F66"/>
    <w:rsid w:val="00416152"/>
    <w:rsid w:val="00416C39"/>
    <w:rsid w:val="004178F6"/>
    <w:rsid w:val="00417B3A"/>
    <w:rsid w:val="0042118D"/>
    <w:rsid w:val="004216A3"/>
    <w:rsid w:val="00421FBC"/>
    <w:rsid w:val="00423E0C"/>
    <w:rsid w:val="004256ED"/>
    <w:rsid w:val="00425716"/>
    <w:rsid w:val="00425BBC"/>
    <w:rsid w:val="00426286"/>
    <w:rsid w:val="00426689"/>
    <w:rsid w:val="004268D3"/>
    <w:rsid w:val="00426989"/>
    <w:rsid w:val="00427389"/>
    <w:rsid w:val="00427A77"/>
    <w:rsid w:val="00427CFD"/>
    <w:rsid w:val="00430BC3"/>
    <w:rsid w:val="0043170B"/>
    <w:rsid w:val="0043175A"/>
    <w:rsid w:val="004319E8"/>
    <w:rsid w:val="00433108"/>
    <w:rsid w:val="00433DCD"/>
    <w:rsid w:val="00433E40"/>
    <w:rsid w:val="004342F5"/>
    <w:rsid w:val="00434520"/>
    <w:rsid w:val="004357C9"/>
    <w:rsid w:val="0043584E"/>
    <w:rsid w:val="00435B33"/>
    <w:rsid w:val="00436344"/>
    <w:rsid w:val="0043663C"/>
    <w:rsid w:val="00437284"/>
    <w:rsid w:val="00437A53"/>
    <w:rsid w:val="0044024E"/>
    <w:rsid w:val="00440622"/>
    <w:rsid w:val="00441B6A"/>
    <w:rsid w:val="00442F59"/>
    <w:rsid w:val="00443855"/>
    <w:rsid w:val="0044396C"/>
    <w:rsid w:val="00444193"/>
    <w:rsid w:val="004441D7"/>
    <w:rsid w:val="004443FA"/>
    <w:rsid w:val="00446323"/>
    <w:rsid w:val="00446D02"/>
    <w:rsid w:val="00450931"/>
    <w:rsid w:val="00450948"/>
    <w:rsid w:val="004519CA"/>
    <w:rsid w:val="004524DC"/>
    <w:rsid w:val="004525EE"/>
    <w:rsid w:val="00452686"/>
    <w:rsid w:val="00452E69"/>
    <w:rsid w:val="00455947"/>
    <w:rsid w:val="00455CF6"/>
    <w:rsid w:val="00455F65"/>
    <w:rsid w:val="004561C2"/>
    <w:rsid w:val="004561E0"/>
    <w:rsid w:val="004567ED"/>
    <w:rsid w:val="00457EAB"/>
    <w:rsid w:val="00462285"/>
    <w:rsid w:val="0046285E"/>
    <w:rsid w:val="00462D9E"/>
    <w:rsid w:val="00463291"/>
    <w:rsid w:val="00463D30"/>
    <w:rsid w:val="004641B4"/>
    <w:rsid w:val="004642F0"/>
    <w:rsid w:val="004645B2"/>
    <w:rsid w:val="00464636"/>
    <w:rsid w:val="00464B2B"/>
    <w:rsid w:val="00464B7B"/>
    <w:rsid w:val="00464C9C"/>
    <w:rsid w:val="0046522D"/>
    <w:rsid w:val="00466CFB"/>
    <w:rsid w:val="00466F76"/>
    <w:rsid w:val="0046718A"/>
    <w:rsid w:val="004671C7"/>
    <w:rsid w:val="00467704"/>
    <w:rsid w:val="00467AD2"/>
    <w:rsid w:val="004701CF"/>
    <w:rsid w:val="00470304"/>
    <w:rsid w:val="00470894"/>
    <w:rsid w:val="004708DD"/>
    <w:rsid w:val="00470E6C"/>
    <w:rsid w:val="00470EE1"/>
    <w:rsid w:val="00472354"/>
    <w:rsid w:val="00472AA9"/>
    <w:rsid w:val="004731C2"/>
    <w:rsid w:val="00473326"/>
    <w:rsid w:val="00473A11"/>
    <w:rsid w:val="00473EB3"/>
    <w:rsid w:val="00474C4D"/>
    <w:rsid w:val="00475294"/>
    <w:rsid w:val="0047626D"/>
    <w:rsid w:val="00476706"/>
    <w:rsid w:val="00477E73"/>
    <w:rsid w:val="00481717"/>
    <w:rsid w:val="00481CB9"/>
    <w:rsid w:val="00481D8C"/>
    <w:rsid w:val="0048237A"/>
    <w:rsid w:val="00482956"/>
    <w:rsid w:val="004829AA"/>
    <w:rsid w:val="004831CB"/>
    <w:rsid w:val="004835FF"/>
    <w:rsid w:val="004837AA"/>
    <w:rsid w:val="00483DD1"/>
    <w:rsid w:val="00483DD2"/>
    <w:rsid w:val="00484387"/>
    <w:rsid w:val="004848AA"/>
    <w:rsid w:val="00484EEF"/>
    <w:rsid w:val="004852C0"/>
    <w:rsid w:val="004852DB"/>
    <w:rsid w:val="00486333"/>
    <w:rsid w:val="004864CA"/>
    <w:rsid w:val="004877D5"/>
    <w:rsid w:val="00487E42"/>
    <w:rsid w:val="00491266"/>
    <w:rsid w:val="00491347"/>
    <w:rsid w:val="004918BC"/>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3126"/>
    <w:rsid w:val="004A474D"/>
    <w:rsid w:val="004A4F7D"/>
    <w:rsid w:val="004A4FA7"/>
    <w:rsid w:val="004A52F0"/>
    <w:rsid w:val="004A5842"/>
    <w:rsid w:val="004A5A15"/>
    <w:rsid w:val="004A5F16"/>
    <w:rsid w:val="004A5F83"/>
    <w:rsid w:val="004A6840"/>
    <w:rsid w:val="004A6A70"/>
    <w:rsid w:val="004A6BB8"/>
    <w:rsid w:val="004A6CB4"/>
    <w:rsid w:val="004A6DE3"/>
    <w:rsid w:val="004A7D54"/>
    <w:rsid w:val="004B1339"/>
    <w:rsid w:val="004B24FF"/>
    <w:rsid w:val="004B3239"/>
    <w:rsid w:val="004B33C5"/>
    <w:rsid w:val="004B35A8"/>
    <w:rsid w:val="004B3768"/>
    <w:rsid w:val="004B40F3"/>
    <w:rsid w:val="004B44B9"/>
    <w:rsid w:val="004B4676"/>
    <w:rsid w:val="004B52FD"/>
    <w:rsid w:val="004B5C6B"/>
    <w:rsid w:val="004B5F98"/>
    <w:rsid w:val="004B6A81"/>
    <w:rsid w:val="004B6DF9"/>
    <w:rsid w:val="004B7738"/>
    <w:rsid w:val="004B7AC1"/>
    <w:rsid w:val="004C01A2"/>
    <w:rsid w:val="004C1CD9"/>
    <w:rsid w:val="004C1DD3"/>
    <w:rsid w:val="004C2BDD"/>
    <w:rsid w:val="004C3805"/>
    <w:rsid w:val="004C3A07"/>
    <w:rsid w:val="004C3F2C"/>
    <w:rsid w:val="004C4922"/>
    <w:rsid w:val="004C4D76"/>
    <w:rsid w:val="004C6081"/>
    <w:rsid w:val="004C65B2"/>
    <w:rsid w:val="004C68A4"/>
    <w:rsid w:val="004C6E3D"/>
    <w:rsid w:val="004D00AD"/>
    <w:rsid w:val="004D039A"/>
    <w:rsid w:val="004D13F8"/>
    <w:rsid w:val="004D1521"/>
    <w:rsid w:val="004D1C78"/>
    <w:rsid w:val="004D237B"/>
    <w:rsid w:val="004D28F1"/>
    <w:rsid w:val="004D3203"/>
    <w:rsid w:val="004D52FB"/>
    <w:rsid w:val="004D540E"/>
    <w:rsid w:val="004D5B2F"/>
    <w:rsid w:val="004D6D32"/>
    <w:rsid w:val="004D7928"/>
    <w:rsid w:val="004E110A"/>
    <w:rsid w:val="004E11D8"/>
    <w:rsid w:val="004E11F6"/>
    <w:rsid w:val="004E16D0"/>
    <w:rsid w:val="004E1B9A"/>
    <w:rsid w:val="004E1DAF"/>
    <w:rsid w:val="004E2186"/>
    <w:rsid w:val="004E27D7"/>
    <w:rsid w:val="004E3BCF"/>
    <w:rsid w:val="004E4394"/>
    <w:rsid w:val="004E4C01"/>
    <w:rsid w:val="004E5159"/>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4BA8"/>
    <w:rsid w:val="00505115"/>
    <w:rsid w:val="00506B95"/>
    <w:rsid w:val="00507155"/>
    <w:rsid w:val="005076FA"/>
    <w:rsid w:val="00507C1E"/>
    <w:rsid w:val="00507D6D"/>
    <w:rsid w:val="0051034A"/>
    <w:rsid w:val="00510388"/>
    <w:rsid w:val="0051092E"/>
    <w:rsid w:val="005109C5"/>
    <w:rsid w:val="00512273"/>
    <w:rsid w:val="00512998"/>
    <w:rsid w:val="00513C9B"/>
    <w:rsid w:val="005145DA"/>
    <w:rsid w:val="00514BD1"/>
    <w:rsid w:val="00514C04"/>
    <w:rsid w:val="0051569E"/>
    <w:rsid w:val="005157F0"/>
    <w:rsid w:val="00515878"/>
    <w:rsid w:val="00515A7E"/>
    <w:rsid w:val="00515D5F"/>
    <w:rsid w:val="0052010E"/>
    <w:rsid w:val="00521CFF"/>
    <w:rsid w:val="0052243F"/>
    <w:rsid w:val="00522CA2"/>
    <w:rsid w:val="005236AE"/>
    <w:rsid w:val="005237C2"/>
    <w:rsid w:val="005237EA"/>
    <w:rsid w:val="00523B0F"/>
    <w:rsid w:val="00525730"/>
    <w:rsid w:val="00525A16"/>
    <w:rsid w:val="00525E93"/>
    <w:rsid w:val="00525EF6"/>
    <w:rsid w:val="005264FD"/>
    <w:rsid w:val="00526FB7"/>
    <w:rsid w:val="00527900"/>
    <w:rsid w:val="005308A0"/>
    <w:rsid w:val="00530B54"/>
    <w:rsid w:val="0053225A"/>
    <w:rsid w:val="00532AE4"/>
    <w:rsid w:val="00533226"/>
    <w:rsid w:val="00533F58"/>
    <w:rsid w:val="005340E7"/>
    <w:rsid w:val="00534800"/>
    <w:rsid w:val="00534922"/>
    <w:rsid w:val="00534E00"/>
    <w:rsid w:val="00536EEE"/>
    <w:rsid w:val="005373DE"/>
    <w:rsid w:val="005401E0"/>
    <w:rsid w:val="00541364"/>
    <w:rsid w:val="00541585"/>
    <w:rsid w:val="005417F5"/>
    <w:rsid w:val="00541FEE"/>
    <w:rsid w:val="0054285E"/>
    <w:rsid w:val="00542A85"/>
    <w:rsid w:val="00542D6B"/>
    <w:rsid w:val="005431B1"/>
    <w:rsid w:val="005435A5"/>
    <w:rsid w:val="00544805"/>
    <w:rsid w:val="00544810"/>
    <w:rsid w:val="00544C65"/>
    <w:rsid w:val="00545363"/>
    <w:rsid w:val="0054559E"/>
    <w:rsid w:val="0054568F"/>
    <w:rsid w:val="00545786"/>
    <w:rsid w:val="00545E45"/>
    <w:rsid w:val="00545F0A"/>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36D"/>
    <w:rsid w:val="00553A3B"/>
    <w:rsid w:val="00553A4E"/>
    <w:rsid w:val="00554EF0"/>
    <w:rsid w:val="0055536E"/>
    <w:rsid w:val="005559E2"/>
    <w:rsid w:val="005564D4"/>
    <w:rsid w:val="005567B0"/>
    <w:rsid w:val="00556E93"/>
    <w:rsid w:val="00560116"/>
    <w:rsid w:val="005628D7"/>
    <w:rsid w:val="0056317A"/>
    <w:rsid w:val="0056351F"/>
    <w:rsid w:val="00563B07"/>
    <w:rsid w:val="00565627"/>
    <w:rsid w:val="00567178"/>
    <w:rsid w:val="00567CC5"/>
    <w:rsid w:val="0057111A"/>
    <w:rsid w:val="00571329"/>
    <w:rsid w:val="00571712"/>
    <w:rsid w:val="0057172B"/>
    <w:rsid w:val="00571DE3"/>
    <w:rsid w:val="00571F0E"/>
    <w:rsid w:val="0057235F"/>
    <w:rsid w:val="00573C31"/>
    <w:rsid w:val="00574604"/>
    <w:rsid w:val="005749E5"/>
    <w:rsid w:val="0057731C"/>
    <w:rsid w:val="00577A63"/>
    <w:rsid w:val="00581541"/>
    <w:rsid w:val="0058182F"/>
    <w:rsid w:val="00581E88"/>
    <w:rsid w:val="00583268"/>
    <w:rsid w:val="005838A3"/>
    <w:rsid w:val="00584444"/>
    <w:rsid w:val="005847EA"/>
    <w:rsid w:val="00586D44"/>
    <w:rsid w:val="00587F07"/>
    <w:rsid w:val="00587FAB"/>
    <w:rsid w:val="0059090F"/>
    <w:rsid w:val="00590D5F"/>
    <w:rsid w:val="0059305B"/>
    <w:rsid w:val="0059326B"/>
    <w:rsid w:val="0059332E"/>
    <w:rsid w:val="0059375F"/>
    <w:rsid w:val="00593F65"/>
    <w:rsid w:val="0059414A"/>
    <w:rsid w:val="0059592C"/>
    <w:rsid w:val="00597D1F"/>
    <w:rsid w:val="005A033D"/>
    <w:rsid w:val="005A08A1"/>
    <w:rsid w:val="005A15EA"/>
    <w:rsid w:val="005A2311"/>
    <w:rsid w:val="005A24B2"/>
    <w:rsid w:val="005A32D7"/>
    <w:rsid w:val="005A3B1E"/>
    <w:rsid w:val="005A427B"/>
    <w:rsid w:val="005A46B1"/>
    <w:rsid w:val="005A4F53"/>
    <w:rsid w:val="005A5FE3"/>
    <w:rsid w:val="005A5FEE"/>
    <w:rsid w:val="005A7AF8"/>
    <w:rsid w:val="005B0A8A"/>
    <w:rsid w:val="005B145E"/>
    <w:rsid w:val="005B2749"/>
    <w:rsid w:val="005B2963"/>
    <w:rsid w:val="005B2978"/>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719"/>
    <w:rsid w:val="005C48BE"/>
    <w:rsid w:val="005C5128"/>
    <w:rsid w:val="005C52D6"/>
    <w:rsid w:val="005C5AE3"/>
    <w:rsid w:val="005C5C02"/>
    <w:rsid w:val="005C67F8"/>
    <w:rsid w:val="005C6ABC"/>
    <w:rsid w:val="005C6E23"/>
    <w:rsid w:val="005C6FE4"/>
    <w:rsid w:val="005C702C"/>
    <w:rsid w:val="005D027B"/>
    <w:rsid w:val="005D02BD"/>
    <w:rsid w:val="005D1067"/>
    <w:rsid w:val="005D19CC"/>
    <w:rsid w:val="005D2329"/>
    <w:rsid w:val="005D341A"/>
    <w:rsid w:val="005D36FC"/>
    <w:rsid w:val="005D3C41"/>
    <w:rsid w:val="005D3E7E"/>
    <w:rsid w:val="005D3F61"/>
    <w:rsid w:val="005D458D"/>
    <w:rsid w:val="005D58E3"/>
    <w:rsid w:val="005D6677"/>
    <w:rsid w:val="005D71B8"/>
    <w:rsid w:val="005D7B45"/>
    <w:rsid w:val="005D7B82"/>
    <w:rsid w:val="005E0546"/>
    <w:rsid w:val="005E1D56"/>
    <w:rsid w:val="005E23F9"/>
    <w:rsid w:val="005E3434"/>
    <w:rsid w:val="005E3526"/>
    <w:rsid w:val="005E397C"/>
    <w:rsid w:val="005E3D02"/>
    <w:rsid w:val="005E58CC"/>
    <w:rsid w:val="005E5D1D"/>
    <w:rsid w:val="005E63BD"/>
    <w:rsid w:val="005E66D6"/>
    <w:rsid w:val="005E6C8B"/>
    <w:rsid w:val="005E6D49"/>
    <w:rsid w:val="005E6ECD"/>
    <w:rsid w:val="005E7115"/>
    <w:rsid w:val="005E74F0"/>
    <w:rsid w:val="005E7E0A"/>
    <w:rsid w:val="005F19AC"/>
    <w:rsid w:val="005F1B53"/>
    <w:rsid w:val="005F23EE"/>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0EF1"/>
    <w:rsid w:val="006013A2"/>
    <w:rsid w:val="00601507"/>
    <w:rsid w:val="00601BF3"/>
    <w:rsid w:val="00603328"/>
    <w:rsid w:val="00603442"/>
    <w:rsid w:val="00603B1C"/>
    <w:rsid w:val="00603CE3"/>
    <w:rsid w:val="00603E3A"/>
    <w:rsid w:val="006041C4"/>
    <w:rsid w:val="006049D6"/>
    <w:rsid w:val="00604BCB"/>
    <w:rsid w:val="00605235"/>
    <w:rsid w:val="00605520"/>
    <w:rsid w:val="0060557A"/>
    <w:rsid w:val="00605A8F"/>
    <w:rsid w:val="00605F40"/>
    <w:rsid w:val="00607819"/>
    <w:rsid w:val="00607F8A"/>
    <w:rsid w:val="006101CE"/>
    <w:rsid w:val="0061134B"/>
    <w:rsid w:val="006119B3"/>
    <w:rsid w:val="00612180"/>
    <w:rsid w:val="006141E0"/>
    <w:rsid w:val="006142B7"/>
    <w:rsid w:val="0061468D"/>
    <w:rsid w:val="00614B07"/>
    <w:rsid w:val="00614F3F"/>
    <w:rsid w:val="00615B3E"/>
    <w:rsid w:val="00616A47"/>
    <w:rsid w:val="00616BDE"/>
    <w:rsid w:val="0061720C"/>
    <w:rsid w:val="006176BE"/>
    <w:rsid w:val="00617777"/>
    <w:rsid w:val="00617B20"/>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4368"/>
    <w:rsid w:val="006345EB"/>
    <w:rsid w:val="006346CE"/>
    <w:rsid w:val="00634CA5"/>
    <w:rsid w:val="00634FF9"/>
    <w:rsid w:val="00635670"/>
    <w:rsid w:val="0063616E"/>
    <w:rsid w:val="0063699E"/>
    <w:rsid w:val="0063782A"/>
    <w:rsid w:val="006400AC"/>
    <w:rsid w:val="00640B50"/>
    <w:rsid w:val="00641A97"/>
    <w:rsid w:val="00641B6F"/>
    <w:rsid w:val="006422E8"/>
    <w:rsid w:val="00642C9F"/>
    <w:rsid w:val="00643921"/>
    <w:rsid w:val="006440C1"/>
    <w:rsid w:val="006444F8"/>
    <w:rsid w:val="006448A7"/>
    <w:rsid w:val="00644ECB"/>
    <w:rsid w:val="006466D3"/>
    <w:rsid w:val="006467E0"/>
    <w:rsid w:val="006475DD"/>
    <w:rsid w:val="00647802"/>
    <w:rsid w:val="0065098E"/>
    <w:rsid w:val="00650CEB"/>
    <w:rsid w:val="0065128A"/>
    <w:rsid w:val="0065163D"/>
    <w:rsid w:val="0065166D"/>
    <w:rsid w:val="00651D41"/>
    <w:rsid w:val="00652DDD"/>
    <w:rsid w:val="00652F03"/>
    <w:rsid w:val="00653059"/>
    <w:rsid w:val="00653265"/>
    <w:rsid w:val="00653403"/>
    <w:rsid w:val="00653FD2"/>
    <w:rsid w:val="00654423"/>
    <w:rsid w:val="00654926"/>
    <w:rsid w:val="006557DD"/>
    <w:rsid w:val="00655BBC"/>
    <w:rsid w:val="00656590"/>
    <w:rsid w:val="00656E90"/>
    <w:rsid w:val="00656EB9"/>
    <w:rsid w:val="00657CC0"/>
    <w:rsid w:val="00660470"/>
    <w:rsid w:val="0066078F"/>
    <w:rsid w:val="0066173F"/>
    <w:rsid w:val="00661C44"/>
    <w:rsid w:val="00661EEE"/>
    <w:rsid w:val="0066230D"/>
    <w:rsid w:val="00662E20"/>
    <w:rsid w:val="00663116"/>
    <w:rsid w:val="0066361A"/>
    <w:rsid w:val="0066368F"/>
    <w:rsid w:val="006638A4"/>
    <w:rsid w:val="0066439F"/>
    <w:rsid w:val="0066493C"/>
    <w:rsid w:val="00664988"/>
    <w:rsid w:val="00664FF9"/>
    <w:rsid w:val="0066502D"/>
    <w:rsid w:val="00665272"/>
    <w:rsid w:val="006666A5"/>
    <w:rsid w:val="00666E68"/>
    <w:rsid w:val="0066705C"/>
    <w:rsid w:val="0066798A"/>
    <w:rsid w:val="00670014"/>
    <w:rsid w:val="006703D8"/>
    <w:rsid w:val="00671373"/>
    <w:rsid w:val="006731F6"/>
    <w:rsid w:val="00673C67"/>
    <w:rsid w:val="00673E20"/>
    <w:rsid w:val="00674162"/>
    <w:rsid w:val="00675D61"/>
    <w:rsid w:val="0067675A"/>
    <w:rsid w:val="00676793"/>
    <w:rsid w:val="00676C0D"/>
    <w:rsid w:val="00676EE8"/>
    <w:rsid w:val="00677216"/>
    <w:rsid w:val="00680510"/>
    <w:rsid w:val="006806B0"/>
    <w:rsid w:val="00681748"/>
    <w:rsid w:val="0068338A"/>
    <w:rsid w:val="0068373E"/>
    <w:rsid w:val="006837BE"/>
    <w:rsid w:val="0068381C"/>
    <w:rsid w:val="00684A2C"/>
    <w:rsid w:val="00684D0F"/>
    <w:rsid w:val="00685562"/>
    <w:rsid w:val="00685D1C"/>
    <w:rsid w:val="00685FD8"/>
    <w:rsid w:val="00687FE8"/>
    <w:rsid w:val="006909D5"/>
    <w:rsid w:val="00690A32"/>
    <w:rsid w:val="006910F7"/>
    <w:rsid w:val="006913B1"/>
    <w:rsid w:val="006915D4"/>
    <w:rsid w:val="00692A75"/>
    <w:rsid w:val="00692CC2"/>
    <w:rsid w:val="00692F0B"/>
    <w:rsid w:val="006944DE"/>
    <w:rsid w:val="0069459E"/>
    <w:rsid w:val="0069496D"/>
    <w:rsid w:val="00694A48"/>
    <w:rsid w:val="006955B0"/>
    <w:rsid w:val="00695AD5"/>
    <w:rsid w:val="00696585"/>
    <w:rsid w:val="00696CB6"/>
    <w:rsid w:val="00697032"/>
    <w:rsid w:val="00697CB6"/>
    <w:rsid w:val="006A209C"/>
    <w:rsid w:val="006A2610"/>
    <w:rsid w:val="006A26E5"/>
    <w:rsid w:val="006A278C"/>
    <w:rsid w:val="006A2CFE"/>
    <w:rsid w:val="006A364C"/>
    <w:rsid w:val="006A3B84"/>
    <w:rsid w:val="006A45BA"/>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842"/>
    <w:rsid w:val="006B5A73"/>
    <w:rsid w:val="006B625E"/>
    <w:rsid w:val="006B6334"/>
    <w:rsid w:val="006B755E"/>
    <w:rsid w:val="006B7648"/>
    <w:rsid w:val="006C0A68"/>
    <w:rsid w:val="006C1BF2"/>
    <w:rsid w:val="006C26D9"/>
    <w:rsid w:val="006C2CF1"/>
    <w:rsid w:val="006C2E25"/>
    <w:rsid w:val="006C32C1"/>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C6655"/>
    <w:rsid w:val="006D0752"/>
    <w:rsid w:val="006D0AE0"/>
    <w:rsid w:val="006D0CB7"/>
    <w:rsid w:val="006D1368"/>
    <w:rsid w:val="006D1D88"/>
    <w:rsid w:val="006D218F"/>
    <w:rsid w:val="006D21CF"/>
    <w:rsid w:val="006D2861"/>
    <w:rsid w:val="006D2CC2"/>
    <w:rsid w:val="006D4560"/>
    <w:rsid w:val="006D5236"/>
    <w:rsid w:val="006D6573"/>
    <w:rsid w:val="006D67B7"/>
    <w:rsid w:val="006D757E"/>
    <w:rsid w:val="006D762C"/>
    <w:rsid w:val="006E151D"/>
    <w:rsid w:val="006E15BB"/>
    <w:rsid w:val="006E1673"/>
    <w:rsid w:val="006E20BB"/>
    <w:rsid w:val="006E2C67"/>
    <w:rsid w:val="006E3742"/>
    <w:rsid w:val="006E3C64"/>
    <w:rsid w:val="006E3E60"/>
    <w:rsid w:val="006E4221"/>
    <w:rsid w:val="006E5334"/>
    <w:rsid w:val="006E5DA0"/>
    <w:rsid w:val="006E5FED"/>
    <w:rsid w:val="006E6266"/>
    <w:rsid w:val="006E629C"/>
    <w:rsid w:val="006E72EC"/>
    <w:rsid w:val="006E73AF"/>
    <w:rsid w:val="006E7CA5"/>
    <w:rsid w:val="006F0CB5"/>
    <w:rsid w:val="006F0DC6"/>
    <w:rsid w:val="006F1220"/>
    <w:rsid w:val="006F12FE"/>
    <w:rsid w:val="006F1487"/>
    <w:rsid w:val="006F1691"/>
    <w:rsid w:val="006F1D26"/>
    <w:rsid w:val="006F25F6"/>
    <w:rsid w:val="006F2738"/>
    <w:rsid w:val="006F2AF6"/>
    <w:rsid w:val="006F3151"/>
    <w:rsid w:val="006F3941"/>
    <w:rsid w:val="006F423A"/>
    <w:rsid w:val="006F63CE"/>
    <w:rsid w:val="006F6A6B"/>
    <w:rsid w:val="006F6FC8"/>
    <w:rsid w:val="006F7B01"/>
    <w:rsid w:val="006F7D5E"/>
    <w:rsid w:val="006F7E86"/>
    <w:rsid w:val="007004C0"/>
    <w:rsid w:val="00700CEE"/>
    <w:rsid w:val="00701ED9"/>
    <w:rsid w:val="00702243"/>
    <w:rsid w:val="00703084"/>
    <w:rsid w:val="00703483"/>
    <w:rsid w:val="007034F2"/>
    <w:rsid w:val="0070451C"/>
    <w:rsid w:val="007048A7"/>
    <w:rsid w:val="00704941"/>
    <w:rsid w:val="00705314"/>
    <w:rsid w:val="00706D76"/>
    <w:rsid w:val="0070787B"/>
    <w:rsid w:val="00710F00"/>
    <w:rsid w:val="007114F2"/>
    <w:rsid w:val="00712306"/>
    <w:rsid w:val="00712355"/>
    <w:rsid w:val="00712823"/>
    <w:rsid w:val="00713866"/>
    <w:rsid w:val="0071396D"/>
    <w:rsid w:val="00714F02"/>
    <w:rsid w:val="00715B20"/>
    <w:rsid w:val="00716DC7"/>
    <w:rsid w:val="00717FA9"/>
    <w:rsid w:val="007203D1"/>
    <w:rsid w:val="0072103E"/>
    <w:rsid w:val="00722122"/>
    <w:rsid w:val="00722D05"/>
    <w:rsid w:val="00723C1D"/>
    <w:rsid w:val="00723C22"/>
    <w:rsid w:val="00723D99"/>
    <w:rsid w:val="007254E2"/>
    <w:rsid w:val="007262CD"/>
    <w:rsid w:val="00727CF4"/>
    <w:rsid w:val="00730E5D"/>
    <w:rsid w:val="00731792"/>
    <w:rsid w:val="0073185A"/>
    <w:rsid w:val="00731A3E"/>
    <w:rsid w:val="007329F0"/>
    <w:rsid w:val="00733027"/>
    <w:rsid w:val="00733EA0"/>
    <w:rsid w:val="00734319"/>
    <w:rsid w:val="00734573"/>
    <w:rsid w:val="007349F0"/>
    <w:rsid w:val="00737EAA"/>
    <w:rsid w:val="0074001F"/>
    <w:rsid w:val="00740248"/>
    <w:rsid w:val="00741866"/>
    <w:rsid w:val="00741C11"/>
    <w:rsid w:val="0074376D"/>
    <w:rsid w:val="007438A4"/>
    <w:rsid w:val="007443A6"/>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6B0"/>
    <w:rsid w:val="00767DB6"/>
    <w:rsid w:val="00770CE1"/>
    <w:rsid w:val="007719EA"/>
    <w:rsid w:val="00772CB2"/>
    <w:rsid w:val="00772DAD"/>
    <w:rsid w:val="007734A3"/>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CD1"/>
    <w:rsid w:val="00786E4F"/>
    <w:rsid w:val="00787125"/>
    <w:rsid w:val="00790002"/>
    <w:rsid w:val="007906D0"/>
    <w:rsid w:val="0079075B"/>
    <w:rsid w:val="007915E6"/>
    <w:rsid w:val="00791F45"/>
    <w:rsid w:val="00792CB1"/>
    <w:rsid w:val="0079386E"/>
    <w:rsid w:val="00794199"/>
    <w:rsid w:val="0079445A"/>
    <w:rsid w:val="00794F9B"/>
    <w:rsid w:val="00795E86"/>
    <w:rsid w:val="0079610D"/>
    <w:rsid w:val="00797306"/>
    <w:rsid w:val="007A04FC"/>
    <w:rsid w:val="007A2EE9"/>
    <w:rsid w:val="007A4748"/>
    <w:rsid w:val="007A5539"/>
    <w:rsid w:val="007A5AA8"/>
    <w:rsid w:val="007A5D0E"/>
    <w:rsid w:val="007A65EF"/>
    <w:rsid w:val="007A7071"/>
    <w:rsid w:val="007A73BF"/>
    <w:rsid w:val="007A7D5E"/>
    <w:rsid w:val="007B0DD8"/>
    <w:rsid w:val="007B2A34"/>
    <w:rsid w:val="007B2C37"/>
    <w:rsid w:val="007B2DBC"/>
    <w:rsid w:val="007B2DF5"/>
    <w:rsid w:val="007B35BF"/>
    <w:rsid w:val="007B3BD7"/>
    <w:rsid w:val="007B41B0"/>
    <w:rsid w:val="007B466E"/>
    <w:rsid w:val="007B477C"/>
    <w:rsid w:val="007B4AAC"/>
    <w:rsid w:val="007B4E01"/>
    <w:rsid w:val="007B53EA"/>
    <w:rsid w:val="007B5B43"/>
    <w:rsid w:val="007B5CE2"/>
    <w:rsid w:val="007B5E90"/>
    <w:rsid w:val="007B659B"/>
    <w:rsid w:val="007B65C3"/>
    <w:rsid w:val="007B6765"/>
    <w:rsid w:val="007B6819"/>
    <w:rsid w:val="007B7998"/>
    <w:rsid w:val="007B7F1A"/>
    <w:rsid w:val="007C052C"/>
    <w:rsid w:val="007C0ACD"/>
    <w:rsid w:val="007C155B"/>
    <w:rsid w:val="007C18A6"/>
    <w:rsid w:val="007C20CB"/>
    <w:rsid w:val="007C2658"/>
    <w:rsid w:val="007C26F9"/>
    <w:rsid w:val="007C36D3"/>
    <w:rsid w:val="007C4102"/>
    <w:rsid w:val="007C43D5"/>
    <w:rsid w:val="007C465B"/>
    <w:rsid w:val="007C4EEA"/>
    <w:rsid w:val="007C551B"/>
    <w:rsid w:val="007C5D4A"/>
    <w:rsid w:val="007C7607"/>
    <w:rsid w:val="007C7E33"/>
    <w:rsid w:val="007C7EC9"/>
    <w:rsid w:val="007D0638"/>
    <w:rsid w:val="007D1047"/>
    <w:rsid w:val="007D1F07"/>
    <w:rsid w:val="007D222D"/>
    <w:rsid w:val="007D2A76"/>
    <w:rsid w:val="007D2C0D"/>
    <w:rsid w:val="007D3BC5"/>
    <w:rsid w:val="007D3F09"/>
    <w:rsid w:val="007D50B7"/>
    <w:rsid w:val="007D536D"/>
    <w:rsid w:val="007D63A4"/>
    <w:rsid w:val="007D647B"/>
    <w:rsid w:val="007D6629"/>
    <w:rsid w:val="007D66C2"/>
    <w:rsid w:val="007D6CD2"/>
    <w:rsid w:val="007D70C4"/>
    <w:rsid w:val="007D7EEA"/>
    <w:rsid w:val="007E04CA"/>
    <w:rsid w:val="007E0711"/>
    <w:rsid w:val="007E0D0F"/>
    <w:rsid w:val="007E1DCC"/>
    <w:rsid w:val="007E2B22"/>
    <w:rsid w:val="007E355D"/>
    <w:rsid w:val="007E39A8"/>
    <w:rsid w:val="007E4193"/>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5958"/>
    <w:rsid w:val="007F605C"/>
    <w:rsid w:val="007F6302"/>
    <w:rsid w:val="007F7955"/>
    <w:rsid w:val="007F7BE6"/>
    <w:rsid w:val="007F7DA0"/>
    <w:rsid w:val="00800F4E"/>
    <w:rsid w:val="00801667"/>
    <w:rsid w:val="00801925"/>
    <w:rsid w:val="00801DC7"/>
    <w:rsid w:val="00801E58"/>
    <w:rsid w:val="008023F8"/>
    <w:rsid w:val="0080371A"/>
    <w:rsid w:val="0080536E"/>
    <w:rsid w:val="00805921"/>
    <w:rsid w:val="0080651E"/>
    <w:rsid w:val="00806CEB"/>
    <w:rsid w:val="00806D31"/>
    <w:rsid w:val="00807DFD"/>
    <w:rsid w:val="00807E24"/>
    <w:rsid w:val="00810052"/>
    <w:rsid w:val="008103BC"/>
    <w:rsid w:val="00810B6F"/>
    <w:rsid w:val="00811410"/>
    <w:rsid w:val="00812400"/>
    <w:rsid w:val="008133A4"/>
    <w:rsid w:val="00813999"/>
    <w:rsid w:val="00813ED0"/>
    <w:rsid w:val="008148E7"/>
    <w:rsid w:val="00814FD7"/>
    <w:rsid w:val="00815CEF"/>
    <w:rsid w:val="008160F8"/>
    <w:rsid w:val="008164AE"/>
    <w:rsid w:val="0081750F"/>
    <w:rsid w:val="00817921"/>
    <w:rsid w:val="00817936"/>
    <w:rsid w:val="00817A5F"/>
    <w:rsid w:val="008204B3"/>
    <w:rsid w:val="008211E5"/>
    <w:rsid w:val="0082120B"/>
    <w:rsid w:val="008212E7"/>
    <w:rsid w:val="008213A3"/>
    <w:rsid w:val="00821700"/>
    <w:rsid w:val="00821F8B"/>
    <w:rsid w:val="0082216D"/>
    <w:rsid w:val="0082277D"/>
    <w:rsid w:val="00822FA5"/>
    <w:rsid w:val="00823D5D"/>
    <w:rsid w:val="00823E05"/>
    <w:rsid w:val="0082476D"/>
    <w:rsid w:val="00825846"/>
    <w:rsid w:val="00826339"/>
    <w:rsid w:val="00826C06"/>
    <w:rsid w:val="00827625"/>
    <w:rsid w:val="00827739"/>
    <w:rsid w:val="0083023F"/>
    <w:rsid w:val="0083054A"/>
    <w:rsid w:val="008306C9"/>
    <w:rsid w:val="00831784"/>
    <w:rsid w:val="0083187C"/>
    <w:rsid w:val="00833A85"/>
    <w:rsid w:val="00835E39"/>
    <w:rsid w:val="00836940"/>
    <w:rsid w:val="0083734D"/>
    <w:rsid w:val="00837A5B"/>
    <w:rsid w:val="008400F2"/>
    <w:rsid w:val="00841896"/>
    <w:rsid w:val="00841DAA"/>
    <w:rsid w:val="008423DB"/>
    <w:rsid w:val="00842669"/>
    <w:rsid w:val="00842786"/>
    <w:rsid w:val="00842F78"/>
    <w:rsid w:val="00843647"/>
    <w:rsid w:val="00843FE6"/>
    <w:rsid w:val="0084407E"/>
    <w:rsid w:val="00844F6E"/>
    <w:rsid w:val="00845775"/>
    <w:rsid w:val="00846605"/>
    <w:rsid w:val="0084687A"/>
    <w:rsid w:val="00846FEF"/>
    <w:rsid w:val="00847675"/>
    <w:rsid w:val="00851E03"/>
    <w:rsid w:val="00852CF0"/>
    <w:rsid w:val="00853DFE"/>
    <w:rsid w:val="00854943"/>
    <w:rsid w:val="00854EC9"/>
    <w:rsid w:val="00854F2C"/>
    <w:rsid w:val="00855AFC"/>
    <w:rsid w:val="00856AF7"/>
    <w:rsid w:val="00857564"/>
    <w:rsid w:val="008576D8"/>
    <w:rsid w:val="008602D3"/>
    <w:rsid w:val="00860558"/>
    <w:rsid w:val="00860D11"/>
    <w:rsid w:val="00861C3D"/>
    <w:rsid w:val="008628E3"/>
    <w:rsid w:val="0086305C"/>
    <w:rsid w:val="00863771"/>
    <w:rsid w:val="00864651"/>
    <w:rsid w:val="00864F17"/>
    <w:rsid w:val="0086642D"/>
    <w:rsid w:val="00866575"/>
    <w:rsid w:val="008666D7"/>
    <w:rsid w:val="0087112D"/>
    <w:rsid w:val="00871C4D"/>
    <w:rsid w:val="00872AE3"/>
    <w:rsid w:val="00872BA0"/>
    <w:rsid w:val="00873C16"/>
    <w:rsid w:val="00873D2F"/>
    <w:rsid w:val="008749C6"/>
    <w:rsid w:val="0087510A"/>
    <w:rsid w:val="00875E3F"/>
    <w:rsid w:val="008769A7"/>
    <w:rsid w:val="008771A8"/>
    <w:rsid w:val="008772AF"/>
    <w:rsid w:val="00877C71"/>
    <w:rsid w:val="00877D72"/>
    <w:rsid w:val="00880E12"/>
    <w:rsid w:val="0088148C"/>
    <w:rsid w:val="0088230F"/>
    <w:rsid w:val="008824E1"/>
    <w:rsid w:val="00882F53"/>
    <w:rsid w:val="00883524"/>
    <w:rsid w:val="00883E1C"/>
    <w:rsid w:val="008841A0"/>
    <w:rsid w:val="0088493D"/>
    <w:rsid w:val="0088498B"/>
    <w:rsid w:val="00885131"/>
    <w:rsid w:val="00885A69"/>
    <w:rsid w:val="008861BE"/>
    <w:rsid w:val="008876B6"/>
    <w:rsid w:val="00887C17"/>
    <w:rsid w:val="00887D9D"/>
    <w:rsid w:val="0089103E"/>
    <w:rsid w:val="008914EB"/>
    <w:rsid w:val="008929AC"/>
    <w:rsid w:val="00892A4C"/>
    <w:rsid w:val="00893316"/>
    <w:rsid w:val="00893545"/>
    <w:rsid w:val="008940B9"/>
    <w:rsid w:val="00894172"/>
    <w:rsid w:val="008946B5"/>
    <w:rsid w:val="008946D2"/>
    <w:rsid w:val="00894CE3"/>
    <w:rsid w:val="00895211"/>
    <w:rsid w:val="00895755"/>
    <w:rsid w:val="00896DE2"/>
    <w:rsid w:val="0089716B"/>
    <w:rsid w:val="008A14EE"/>
    <w:rsid w:val="008A1636"/>
    <w:rsid w:val="008A2BF6"/>
    <w:rsid w:val="008A3543"/>
    <w:rsid w:val="008A380A"/>
    <w:rsid w:val="008A3BE1"/>
    <w:rsid w:val="008A4197"/>
    <w:rsid w:val="008A4C7C"/>
    <w:rsid w:val="008A4CC8"/>
    <w:rsid w:val="008A4DE7"/>
    <w:rsid w:val="008A632B"/>
    <w:rsid w:val="008A67DF"/>
    <w:rsid w:val="008A69CB"/>
    <w:rsid w:val="008A6EB1"/>
    <w:rsid w:val="008A7216"/>
    <w:rsid w:val="008B07D6"/>
    <w:rsid w:val="008B193C"/>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D94"/>
    <w:rsid w:val="008C4FE7"/>
    <w:rsid w:val="008C59E2"/>
    <w:rsid w:val="008C5D09"/>
    <w:rsid w:val="008C648E"/>
    <w:rsid w:val="008D05F3"/>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62CD"/>
    <w:rsid w:val="008E7EA7"/>
    <w:rsid w:val="008E7F18"/>
    <w:rsid w:val="008F019D"/>
    <w:rsid w:val="008F092C"/>
    <w:rsid w:val="008F0B08"/>
    <w:rsid w:val="008F0FA9"/>
    <w:rsid w:val="008F14DC"/>
    <w:rsid w:val="008F18C5"/>
    <w:rsid w:val="008F1C6C"/>
    <w:rsid w:val="008F1E09"/>
    <w:rsid w:val="008F2F17"/>
    <w:rsid w:val="008F3668"/>
    <w:rsid w:val="008F3894"/>
    <w:rsid w:val="008F3C17"/>
    <w:rsid w:val="008F4C99"/>
    <w:rsid w:val="008F5A8E"/>
    <w:rsid w:val="008F5E21"/>
    <w:rsid w:val="008F625D"/>
    <w:rsid w:val="008F62B3"/>
    <w:rsid w:val="008F636D"/>
    <w:rsid w:val="008F7133"/>
    <w:rsid w:val="008F732C"/>
    <w:rsid w:val="00900AD3"/>
    <w:rsid w:val="00900C1C"/>
    <w:rsid w:val="009025B3"/>
    <w:rsid w:val="00904C7D"/>
    <w:rsid w:val="00904F28"/>
    <w:rsid w:val="00904F35"/>
    <w:rsid w:val="009062C8"/>
    <w:rsid w:val="00906E22"/>
    <w:rsid w:val="00907CBC"/>
    <w:rsid w:val="00910447"/>
    <w:rsid w:val="00910839"/>
    <w:rsid w:val="00910BE8"/>
    <w:rsid w:val="0091105E"/>
    <w:rsid w:val="00911440"/>
    <w:rsid w:val="00912947"/>
    <w:rsid w:val="00912E6C"/>
    <w:rsid w:val="009130B6"/>
    <w:rsid w:val="009141FA"/>
    <w:rsid w:val="0091446C"/>
    <w:rsid w:val="00914A11"/>
    <w:rsid w:val="00914A45"/>
    <w:rsid w:val="00914A91"/>
    <w:rsid w:val="00916F4B"/>
    <w:rsid w:val="0091726B"/>
    <w:rsid w:val="00917270"/>
    <w:rsid w:val="009177E8"/>
    <w:rsid w:val="00917874"/>
    <w:rsid w:val="00917C32"/>
    <w:rsid w:val="00917D7E"/>
    <w:rsid w:val="009200B0"/>
    <w:rsid w:val="00920428"/>
    <w:rsid w:val="009219C6"/>
    <w:rsid w:val="0092266C"/>
    <w:rsid w:val="00922786"/>
    <w:rsid w:val="00922A15"/>
    <w:rsid w:val="0092314B"/>
    <w:rsid w:val="00923C75"/>
    <w:rsid w:val="00924451"/>
    <w:rsid w:val="00924894"/>
    <w:rsid w:val="00925FB6"/>
    <w:rsid w:val="00926095"/>
    <w:rsid w:val="00926302"/>
    <w:rsid w:val="0092656F"/>
    <w:rsid w:val="0092694F"/>
    <w:rsid w:val="00926AB9"/>
    <w:rsid w:val="00926C15"/>
    <w:rsid w:val="00927CBF"/>
    <w:rsid w:val="0093055D"/>
    <w:rsid w:val="00931B1C"/>
    <w:rsid w:val="00931C39"/>
    <w:rsid w:val="00932710"/>
    <w:rsid w:val="009328C2"/>
    <w:rsid w:val="00932CBD"/>
    <w:rsid w:val="0093359D"/>
    <w:rsid w:val="00933642"/>
    <w:rsid w:val="009337C6"/>
    <w:rsid w:val="00933870"/>
    <w:rsid w:val="0093388F"/>
    <w:rsid w:val="00933EDC"/>
    <w:rsid w:val="00934032"/>
    <w:rsid w:val="00934825"/>
    <w:rsid w:val="00934DB9"/>
    <w:rsid w:val="009351CE"/>
    <w:rsid w:val="009355F7"/>
    <w:rsid w:val="00935A72"/>
    <w:rsid w:val="009407EE"/>
    <w:rsid w:val="00940D85"/>
    <w:rsid w:val="009414B7"/>
    <w:rsid w:val="00941E25"/>
    <w:rsid w:val="0094243B"/>
    <w:rsid w:val="0094272F"/>
    <w:rsid w:val="00942F27"/>
    <w:rsid w:val="00943E97"/>
    <w:rsid w:val="00943EFC"/>
    <w:rsid w:val="00944850"/>
    <w:rsid w:val="00944A15"/>
    <w:rsid w:val="00944BC7"/>
    <w:rsid w:val="009450D4"/>
    <w:rsid w:val="00945961"/>
    <w:rsid w:val="00946318"/>
    <w:rsid w:val="00946364"/>
    <w:rsid w:val="00946AC9"/>
    <w:rsid w:val="00947359"/>
    <w:rsid w:val="009477EC"/>
    <w:rsid w:val="00947CAF"/>
    <w:rsid w:val="00947D1A"/>
    <w:rsid w:val="00950729"/>
    <w:rsid w:val="009511CD"/>
    <w:rsid w:val="0095151A"/>
    <w:rsid w:val="00951E49"/>
    <w:rsid w:val="009532EC"/>
    <w:rsid w:val="00953DDF"/>
    <w:rsid w:val="009542E1"/>
    <w:rsid w:val="0095619F"/>
    <w:rsid w:val="00956C38"/>
    <w:rsid w:val="00956E36"/>
    <w:rsid w:val="00957642"/>
    <w:rsid w:val="00957FE3"/>
    <w:rsid w:val="00960052"/>
    <w:rsid w:val="0096141D"/>
    <w:rsid w:val="00961C70"/>
    <w:rsid w:val="00963197"/>
    <w:rsid w:val="0096375E"/>
    <w:rsid w:val="0096381A"/>
    <w:rsid w:val="00964382"/>
    <w:rsid w:val="009659F7"/>
    <w:rsid w:val="00965FD0"/>
    <w:rsid w:val="00966F90"/>
    <w:rsid w:val="00967C9F"/>
    <w:rsid w:val="009704CD"/>
    <w:rsid w:val="009708AE"/>
    <w:rsid w:val="009715A0"/>
    <w:rsid w:val="00973FC5"/>
    <w:rsid w:val="00974405"/>
    <w:rsid w:val="00974B89"/>
    <w:rsid w:val="00974DD8"/>
    <w:rsid w:val="009756AD"/>
    <w:rsid w:val="00975ACB"/>
    <w:rsid w:val="0097766C"/>
    <w:rsid w:val="00977B11"/>
    <w:rsid w:val="00980634"/>
    <w:rsid w:val="00980F54"/>
    <w:rsid w:val="00981B9F"/>
    <w:rsid w:val="00982894"/>
    <w:rsid w:val="00983D17"/>
    <w:rsid w:val="00983E72"/>
    <w:rsid w:val="00984096"/>
    <w:rsid w:val="00984ECD"/>
    <w:rsid w:val="00985918"/>
    <w:rsid w:val="00985B21"/>
    <w:rsid w:val="0098680C"/>
    <w:rsid w:val="0098726C"/>
    <w:rsid w:val="00987DE9"/>
    <w:rsid w:val="00987E12"/>
    <w:rsid w:val="00991E4A"/>
    <w:rsid w:val="00992689"/>
    <w:rsid w:val="009931B7"/>
    <w:rsid w:val="00993E1C"/>
    <w:rsid w:val="009943C3"/>
    <w:rsid w:val="00995D94"/>
    <w:rsid w:val="00996B7C"/>
    <w:rsid w:val="00996ED2"/>
    <w:rsid w:val="009977F9"/>
    <w:rsid w:val="00997D6A"/>
    <w:rsid w:val="009A117D"/>
    <w:rsid w:val="009A1C9A"/>
    <w:rsid w:val="009A1DFF"/>
    <w:rsid w:val="009A231B"/>
    <w:rsid w:val="009A351B"/>
    <w:rsid w:val="009A3676"/>
    <w:rsid w:val="009A3879"/>
    <w:rsid w:val="009A4167"/>
    <w:rsid w:val="009A48AC"/>
    <w:rsid w:val="009A5D46"/>
    <w:rsid w:val="009A5F4A"/>
    <w:rsid w:val="009A6019"/>
    <w:rsid w:val="009A6DF4"/>
    <w:rsid w:val="009A7934"/>
    <w:rsid w:val="009A7B16"/>
    <w:rsid w:val="009A7DDB"/>
    <w:rsid w:val="009A7F1E"/>
    <w:rsid w:val="009A7FCE"/>
    <w:rsid w:val="009B03B6"/>
    <w:rsid w:val="009B08CC"/>
    <w:rsid w:val="009B0B74"/>
    <w:rsid w:val="009B150D"/>
    <w:rsid w:val="009B29E4"/>
    <w:rsid w:val="009B399A"/>
    <w:rsid w:val="009B3BB5"/>
    <w:rsid w:val="009B3FD8"/>
    <w:rsid w:val="009B46EC"/>
    <w:rsid w:val="009B54C7"/>
    <w:rsid w:val="009B54F8"/>
    <w:rsid w:val="009B582C"/>
    <w:rsid w:val="009B5C05"/>
    <w:rsid w:val="009B5C35"/>
    <w:rsid w:val="009B5F4B"/>
    <w:rsid w:val="009B6DE5"/>
    <w:rsid w:val="009B7EDE"/>
    <w:rsid w:val="009C0129"/>
    <w:rsid w:val="009C012A"/>
    <w:rsid w:val="009C0230"/>
    <w:rsid w:val="009C0FD5"/>
    <w:rsid w:val="009C192D"/>
    <w:rsid w:val="009C1E0C"/>
    <w:rsid w:val="009C5275"/>
    <w:rsid w:val="009C7EE4"/>
    <w:rsid w:val="009D05AF"/>
    <w:rsid w:val="009D1300"/>
    <w:rsid w:val="009D2C34"/>
    <w:rsid w:val="009D3AD0"/>
    <w:rsid w:val="009D4168"/>
    <w:rsid w:val="009D5616"/>
    <w:rsid w:val="009D65E8"/>
    <w:rsid w:val="009D67EA"/>
    <w:rsid w:val="009D693F"/>
    <w:rsid w:val="009D6D13"/>
    <w:rsid w:val="009D7398"/>
    <w:rsid w:val="009D7CF3"/>
    <w:rsid w:val="009E062F"/>
    <w:rsid w:val="009E104F"/>
    <w:rsid w:val="009E13AD"/>
    <w:rsid w:val="009E1914"/>
    <w:rsid w:val="009E201C"/>
    <w:rsid w:val="009E20E1"/>
    <w:rsid w:val="009E21E9"/>
    <w:rsid w:val="009E2AA1"/>
    <w:rsid w:val="009E2ECC"/>
    <w:rsid w:val="009E354D"/>
    <w:rsid w:val="009E4056"/>
    <w:rsid w:val="009E5221"/>
    <w:rsid w:val="009E5385"/>
    <w:rsid w:val="009E5575"/>
    <w:rsid w:val="009E580A"/>
    <w:rsid w:val="009E620D"/>
    <w:rsid w:val="009E655C"/>
    <w:rsid w:val="009E6AAB"/>
    <w:rsid w:val="009E775F"/>
    <w:rsid w:val="009F0F58"/>
    <w:rsid w:val="009F0F69"/>
    <w:rsid w:val="009F1D5C"/>
    <w:rsid w:val="009F236A"/>
    <w:rsid w:val="009F24FC"/>
    <w:rsid w:val="009F2BED"/>
    <w:rsid w:val="009F3DFA"/>
    <w:rsid w:val="009F3FA1"/>
    <w:rsid w:val="009F555A"/>
    <w:rsid w:val="009F60F2"/>
    <w:rsid w:val="00A0030E"/>
    <w:rsid w:val="00A00CB1"/>
    <w:rsid w:val="00A00E41"/>
    <w:rsid w:val="00A00E96"/>
    <w:rsid w:val="00A00F3A"/>
    <w:rsid w:val="00A01EC1"/>
    <w:rsid w:val="00A025BC"/>
    <w:rsid w:val="00A028B7"/>
    <w:rsid w:val="00A0296C"/>
    <w:rsid w:val="00A02B50"/>
    <w:rsid w:val="00A03C85"/>
    <w:rsid w:val="00A05159"/>
    <w:rsid w:val="00A054C7"/>
    <w:rsid w:val="00A05584"/>
    <w:rsid w:val="00A0583B"/>
    <w:rsid w:val="00A05B5C"/>
    <w:rsid w:val="00A062B2"/>
    <w:rsid w:val="00A06322"/>
    <w:rsid w:val="00A06E2C"/>
    <w:rsid w:val="00A0722F"/>
    <w:rsid w:val="00A072E7"/>
    <w:rsid w:val="00A07452"/>
    <w:rsid w:val="00A078A7"/>
    <w:rsid w:val="00A07B7A"/>
    <w:rsid w:val="00A10F61"/>
    <w:rsid w:val="00A11284"/>
    <w:rsid w:val="00A11741"/>
    <w:rsid w:val="00A1240E"/>
    <w:rsid w:val="00A12F28"/>
    <w:rsid w:val="00A14084"/>
    <w:rsid w:val="00A1445D"/>
    <w:rsid w:val="00A1481A"/>
    <w:rsid w:val="00A1515E"/>
    <w:rsid w:val="00A15A69"/>
    <w:rsid w:val="00A16319"/>
    <w:rsid w:val="00A166AE"/>
    <w:rsid w:val="00A169E4"/>
    <w:rsid w:val="00A176E1"/>
    <w:rsid w:val="00A206EF"/>
    <w:rsid w:val="00A20F48"/>
    <w:rsid w:val="00A216E4"/>
    <w:rsid w:val="00A2199D"/>
    <w:rsid w:val="00A21B2C"/>
    <w:rsid w:val="00A2317A"/>
    <w:rsid w:val="00A23582"/>
    <w:rsid w:val="00A2396A"/>
    <w:rsid w:val="00A23E33"/>
    <w:rsid w:val="00A241EC"/>
    <w:rsid w:val="00A25777"/>
    <w:rsid w:val="00A25F7F"/>
    <w:rsid w:val="00A2644D"/>
    <w:rsid w:val="00A267FC"/>
    <w:rsid w:val="00A26A38"/>
    <w:rsid w:val="00A26A51"/>
    <w:rsid w:val="00A270E3"/>
    <w:rsid w:val="00A30CED"/>
    <w:rsid w:val="00A31E03"/>
    <w:rsid w:val="00A322D2"/>
    <w:rsid w:val="00A33B33"/>
    <w:rsid w:val="00A34115"/>
    <w:rsid w:val="00A34A34"/>
    <w:rsid w:val="00A34B58"/>
    <w:rsid w:val="00A34F9C"/>
    <w:rsid w:val="00A351EB"/>
    <w:rsid w:val="00A359C8"/>
    <w:rsid w:val="00A35A1E"/>
    <w:rsid w:val="00A363DC"/>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12F"/>
    <w:rsid w:val="00A519B5"/>
    <w:rsid w:val="00A51C72"/>
    <w:rsid w:val="00A51D8A"/>
    <w:rsid w:val="00A52317"/>
    <w:rsid w:val="00A525CE"/>
    <w:rsid w:val="00A52672"/>
    <w:rsid w:val="00A526DB"/>
    <w:rsid w:val="00A530B2"/>
    <w:rsid w:val="00A53CF4"/>
    <w:rsid w:val="00A54466"/>
    <w:rsid w:val="00A55306"/>
    <w:rsid w:val="00A55BC1"/>
    <w:rsid w:val="00A56331"/>
    <w:rsid w:val="00A566DE"/>
    <w:rsid w:val="00A57D4A"/>
    <w:rsid w:val="00A602B1"/>
    <w:rsid w:val="00A628B2"/>
    <w:rsid w:val="00A62AF1"/>
    <w:rsid w:val="00A636BD"/>
    <w:rsid w:val="00A63F8B"/>
    <w:rsid w:val="00A67600"/>
    <w:rsid w:val="00A7065A"/>
    <w:rsid w:val="00A710C2"/>
    <w:rsid w:val="00A7176D"/>
    <w:rsid w:val="00A718AE"/>
    <w:rsid w:val="00A71F08"/>
    <w:rsid w:val="00A74D87"/>
    <w:rsid w:val="00A74E30"/>
    <w:rsid w:val="00A75B89"/>
    <w:rsid w:val="00A75D30"/>
    <w:rsid w:val="00A76700"/>
    <w:rsid w:val="00A76866"/>
    <w:rsid w:val="00A77180"/>
    <w:rsid w:val="00A7761F"/>
    <w:rsid w:val="00A7785A"/>
    <w:rsid w:val="00A77C72"/>
    <w:rsid w:val="00A80909"/>
    <w:rsid w:val="00A82680"/>
    <w:rsid w:val="00A82CB9"/>
    <w:rsid w:val="00A835C2"/>
    <w:rsid w:val="00A838C5"/>
    <w:rsid w:val="00A83AA6"/>
    <w:rsid w:val="00A83FB8"/>
    <w:rsid w:val="00A84608"/>
    <w:rsid w:val="00A84F3F"/>
    <w:rsid w:val="00A856AE"/>
    <w:rsid w:val="00A86146"/>
    <w:rsid w:val="00A86304"/>
    <w:rsid w:val="00A87460"/>
    <w:rsid w:val="00A874E7"/>
    <w:rsid w:val="00A87569"/>
    <w:rsid w:val="00A90353"/>
    <w:rsid w:val="00A906BF"/>
    <w:rsid w:val="00A90A98"/>
    <w:rsid w:val="00A9160F"/>
    <w:rsid w:val="00A916B0"/>
    <w:rsid w:val="00A9198B"/>
    <w:rsid w:val="00A9242F"/>
    <w:rsid w:val="00A92B5E"/>
    <w:rsid w:val="00A934DA"/>
    <w:rsid w:val="00A9437A"/>
    <w:rsid w:val="00A94F72"/>
    <w:rsid w:val="00A95E5A"/>
    <w:rsid w:val="00A960A4"/>
    <w:rsid w:val="00A9612A"/>
    <w:rsid w:val="00A96379"/>
    <w:rsid w:val="00A9652B"/>
    <w:rsid w:val="00A96C6B"/>
    <w:rsid w:val="00A96C73"/>
    <w:rsid w:val="00A96F4D"/>
    <w:rsid w:val="00A9741D"/>
    <w:rsid w:val="00A97710"/>
    <w:rsid w:val="00A97F2B"/>
    <w:rsid w:val="00AA0834"/>
    <w:rsid w:val="00AA0963"/>
    <w:rsid w:val="00AA19D2"/>
    <w:rsid w:val="00AA2198"/>
    <w:rsid w:val="00AA2E5E"/>
    <w:rsid w:val="00AA2FFE"/>
    <w:rsid w:val="00AA3933"/>
    <w:rsid w:val="00AA4F32"/>
    <w:rsid w:val="00AA4F93"/>
    <w:rsid w:val="00AA6912"/>
    <w:rsid w:val="00AA69AC"/>
    <w:rsid w:val="00AA6C3E"/>
    <w:rsid w:val="00AA73E5"/>
    <w:rsid w:val="00AA7997"/>
    <w:rsid w:val="00AB087D"/>
    <w:rsid w:val="00AB0EE1"/>
    <w:rsid w:val="00AB0FAF"/>
    <w:rsid w:val="00AB224D"/>
    <w:rsid w:val="00AB2369"/>
    <w:rsid w:val="00AB3145"/>
    <w:rsid w:val="00AB339B"/>
    <w:rsid w:val="00AB35B6"/>
    <w:rsid w:val="00AB364E"/>
    <w:rsid w:val="00AB3D3B"/>
    <w:rsid w:val="00AB3DEB"/>
    <w:rsid w:val="00AB440E"/>
    <w:rsid w:val="00AB470B"/>
    <w:rsid w:val="00AB4E7C"/>
    <w:rsid w:val="00AB558D"/>
    <w:rsid w:val="00AB5878"/>
    <w:rsid w:val="00AB6D33"/>
    <w:rsid w:val="00AB6D56"/>
    <w:rsid w:val="00AB73ED"/>
    <w:rsid w:val="00AB7E3C"/>
    <w:rsid w:val="00AC1BD5"/>
    <w:rsid w:val="00AC2607"/>
    <w:rsid w:val="00AC273A"/>
    <w:rsid w:val="00AC2941"/>
    <w:rsid w:val="00AC3157"/>
    <w:rsid w:val="00AC3426"/>
    <w:rsid w:val="00AC377E"/>
    <w:rsid w:val="00AC42FF"/>
    <w:rsid w:val="00AC4494"/>
    <w:rsid w:val="00AC46C2"/>
    <w:rsid w:val="00AC52FC"/>
    <w:rsid w:val="00AC5495"/>
    <w:rsid w:val="00AC5F81"/>
    <w:rsid w:val="00AC60E1"/>
    <w:rsid w:val="00AC6E4F"/>
    <w:rsid w:val="00AC7743"/>
    <w:rsid w:val="00AD0928"/>
    <w:rsid w:val="00AD11FD"/>
    <w:rsid w:val="00AD18E7"/>
    <w:rsid w:val="00AD195D"/>
    <w:rsid w:val="00AD1A82"/>
    <w:rsid w:val="00AD336B"/>
    <w:rsid w:val="00AD526F"/>
    <w:rsid w:val="00AD54B4"/>
    <w:rsid w:val="00AD5B03"/>
    <w:rsid w:val="00AD631E"/>
    <w:rsid w:val="00AD7450"/>
    <w:rsid w:val="00AD788C"/>
    <w:rsid w:val="00AE00A6"/>
    <w:rsid w:val="00AE0A01"/>
    <w:rsid w:val="00AE17FC"/>
    <w:rsid w:val="00AE1D6D"/>
    <w:rsid w:val="00AE1FE7"/>
    <w:rsid w:val="00AE24B2"/>
    <w:rsid w:val="00AE2EA9"/>
    <w:rsid w:val="00AE348E"/>
    <w:rsid w:val="00AE380D"/>
    <w:rsid w:val="00AE39B5"/>
    <w:rsid w:val="00AE3D92"/>
    <w:rsid w:val="00AE4FAD"/>
    <w:rsid w:val="00AE5609"/>
    <w:rsid w:val="00AE56AE"/>
    <w:rsid w:val="00AE5A23"/>
    <w:rsid w:val="00AE6EEB"/>
    <w:rsid w:val="00AE7913"/>
    <w:rsid w:val="00AE7C39"/>
    <w:rsid w:val="00AF01C5"/>
    <w:rsid w:val="00AF033F"/>
    <w:rsid w:val="00AF0ABF"/>
    <w:rsid w:val="00AF0CC0"/>
    <w:rsid w:val="00AF0D98"/>
    <w:rsid w:val="00AF1B00"/>
    <w:rsid w:val="00AF24B7"/>
    <w:rsid w:val="00AF2746"/>
    <w:rsid w:val="00AF276D"/>
    <w:rsid w:val="00AF40D3"/>
    <w:rsid w:val="00AF4922"/>
    <w:rsid w:val="00AF4A30"/>
    <w:rsid w:val="00AF790E"/>
    <w:rsid w:val="00B00576"/>
    <w:rsid w:val="00B00811"/>
    <w:rsid w:val="00B00AAB"/>
    <w:rsid w:val="00B01F19"/>
    <w:rsid w:val="00B02FB3"/>
    <w:rsid w:val="00B03555"/>
    <w:rsid w:val="00B03E35"/>
    <w:rsid w:val="00B050B3"/>
    <w:rsid w:val="00B0570F"/>
    <w:rsid w:val="00B0576C"/>
    <w:rsid w:val="00B05E08"/>
    <w:rsid w:val="00B05F11"/>
    <w:rsid w:val="00B0609B"/>
    <w:rsid w:val="00B077F1"/>
    <w:rsid w:val="00B07ED2"/>
    <w:rsid w:val="00B07F72"/>
    <w:rsid w:val="00B11392"/>
    <w:rsid w:val="00B116C4"/>
    <w:rsid w:val="00B131ED"/>
    <w:rsid w:val="00B135CE"/>
    <w:rsid w:val="00B1374C"/>
    <w:rsid w:val="00B13814"/>
    <w:rsid w:val="00B138D1"/>
    <w:rsid w:val="00B13A84"/>
    <w:rsid w:val="00B13D8E"/>
    <w:rsid w:val="00B14E09"/>
    <w:rsid w:val="00B1579F"/>
    <w:rsid w:val="00B15D45"/>
    <w:rsid w:val="00B1670C"/>
    <w:rsid w:val="00B171AB"/>
    <w:rsid w:val="00B17C63"/>
    <w:rsid w:val="00B17F15"/>
    <w:rsid w:val="00B203FB"/>
    <w:rsid w:val="00B20A99"/>
    <w:rsid w:val="00B21C5D"/>
    <w:rsid w:val="00B21DAF"/>
    <w:rsid w:val="00B22700"/>
    <w:rsid w:val="00B2275D"/>
    <w:rsid w:val="00B23876"/>
    <w:rsid w:val="00B24364"/>
    <w:rsid w:val="00B26AF3"/>
    <w:rsid w:val="00B2751D"/>
    <w:rsid w:val="00B2776E"/>
    <w:rsid w:val="00B27D1D"/>
    <w:rsid w:val="00B27D79"/>
    <w:rsid w:val="00B27DBD"/>
    <w:rsid w:val="00B301F7"/>
    <w:rsid w:val="00B312D1"/>
    <w:rsid w:val="00B32093"/>
    <w:rsid w:val="00B322B3"/>
    <w:rsid w:val="00B33C21"/>
    <w:rsid w:val="00B33DA8"/>
    <w:rsid w:val="00B33F6A"/>
    <w:rsid w:val="00B341F8"/>
    <w:rsid w:val="00B347EA"/>
    <w:rsid w:val="00B3496C"/>
    <w:rsid w:val="00B36BF5"/>
    <w:rsid w:val="00B37AD2"/>
    <w:rsid w:val="00B4007E"/>
    <w:rsid w:val="00B400B3"/>
    <w:rsid w:val="00B407AD"/>
    <w:rsid w:val="00B40DFC"/>
    <w:rsid w:val="00B4157F"/>
    <w:rsid w:val="00B415EB"/>
    <w:rsid w:val="00B41813"/>
    <w:rsid w:val="00B4361F"/>
    <w:rsid w:val="00B43CB4"/>
    <w:rsid w:val="00B4455B"/>
    <w:rsid w:val="00B44817"/>
    <w:rsid w:val="00B45EA3"/>
    <w:rsid w:val="00B45FEF"/>
    <w:rsid w:val="00B461CF"/>
    <w:rsid w:val="00B4647D"/>
    <w:rsid w:val="00B466EE"/>
    <w:rsid w:val="00B4674D"/>
    <w:rsid w:val="00B471CB"/>
    <w:rsid w:val="00B4741E"/>
    <w:rsid w:val="00B4794A"/>
    <w:rsid w:val="00B504A7"/>
    <w:rsid w:val="00B51A75"/>
    <w:rsid w:val="00B51D14"/>
    <w:rsid w:val="00B53306"/>
    <w:rsid w:val="00B536F4"/>
    <w:rsid w:val="00B53CED"/>
    <w:rsid w:val="00B547D3"/>
    <w:rsid w:val="00B54C20"/>
    <w:rsid w:val="00B552D3"/>
    <w:rsid w:val="00B5614C"/>
    <w:rsid w:val="00B57DEC"/>
    <w:rsid w:val="00B602C8"/>
    <w:rsid w:val="00B60393"/>
    <w:rsid w:val="00B603F2"/>
    <w:rsid w:val="00B60C0D"/>
    <w:rsid w:val="00B61323"/>
    <w:rsid w:val="00B61EA8"/>
    <w:rsid w:val="00B61FCD"/>
    <w:rsid w:val="00B6220D"/>
    <w:rsid w:val="00B6294A"/>
    <w:rsid w:val="00B636C1"/>
    <w:rsid w:val="00B636E2"/>
    <w:rsid w:val="00B63B0D"/>
    <w:rsid w:val="00B64006"/>
    <w:rsid w:val="00B6429E"/>
    <w:rsid w:val="00B64409"/>
    <w:rsid w:val="00B65165"/>
    <w:rsid w:val="00B67235"/>
    <w:rsid w:val="00B70673"/>
    <w:rsid w:val="00B71242"/>
    <w:rsid w:val="00B715D3"/>
    <w:rsid w:val="00B72133"/>
    <w:rsid w:val="00B72C98"/>
    <w:rsid w:val="00B72ECC"/>
    <w:rsid w:val="00B73C41"/>
    <w:rsid w:val="00B75656"/>
    <w:rsid w:val="00B75E8B"/>
    <w:rsid w:val="00B76F18"/>
    <w:rsid w:val="00B80914"/>
    <w:rsid w:val="00B81B2C"/>
    <w:rsid w:val="00B81B60"/>
    <w:rsid w:val="00B81D5E"/>
    <w:rsid w:val="00B81F9A"/>
    <w:rsid w:val="00B83A38"/>
    <w:rsid w:val="00B83B1F"/>
    <w:rsid w:val="00B83E3A"/>
    <w:rsid w:val="00B84026"/>
    <w:rsid w:val="00B8425E"/>
    <w:rsid w:val="00B84924"/>
    <w:rsid w:val="00B84E2F"/>
    <w:rsid w:val="00B853AE"/>
    <w:rsid w:val="00B85950"/>
    <w:rsid w:val="00B85B74"/>
    <w:rsid w:val="00B85C9C"/>
    <w:rsid w:val="00B8619E"/>
    <w:rsid w:val="00B8790C"/>
    <w:rsid w:val="00B918C7"/>
    <w:rsid w:val="00B9200E"/>
    <w:rsid w:val="00B9207E"/>
    <w:rsid w:val="00B94057"/>
    <w:rsid w:val="00B94A8D"/>
    <w:rsid w:val="00B96FBE"/>
    <w:rsid w:val="00B9701D"/>
    <w:rsid w:val="00B975A7"/>
    <w:rsid w:val="00B97755"/>
    <w:rsid w:val="00B978DC"/>
    <w:rsid w:val="00B97B3D"/>
    <w:rsid w:val="00B97CD9"/>
    <w:rsid w:val="00BA04C6"/>
    <w:rsid w:val="00BA0F14"/>
    <w:rsid w:val="00BA13EC"/>
    <w:rsid w:val="00BA1BD3"/>
    <w:rsid w:val="00BA1C2C"/>
    <w:rsid w:val="00BA239F"/>
    <w:rsid w:val="00BA2D09"/>
    <w:rsid w:val="00BA3873"/>
    <w:rsid w:val="00BA38DA"/>
    <w:rsid w:val="00BA3CE0"/>
    <w:rsid w:val="00BA3F2A"/>
    <w:rsid w:val="00BA4C3D"/>
    <w:rsid w:val="00BA4C89"/>
    <w:rsid w:val="00BA4D54"/>
    <w:rsid w:val="00BA7651"/>
    <w:rsid w:val="00BB05E9"/>
    <w:rsid w:val="00BB1597"/>
    <w:rsid w:val="00BB167B"/>
    <w:rsid w:val="00BB1A52"/>
    <w:rsid w:val="00BB1B16"/>
    <w:rsid w:val="00BB24DB"/>
    <w:rsid w:val="00BB27A0"/>
    <w:rsid w:val="00BB323A"/>
    <w:rsid w:val="00BB4F5A"/>
    <w:rsid w:val="00BB636C"/>
    <w:rsid w:val="00BB796A"/>
    <w:rsid w:val="00BC02B6"/>
    <w:rsid w:val="00BC0C15"/>
    <w:rsid w:val="00BC2807"/>
    <w:rsid w:val="00BC2BAA"/>
    <w:rsid w:val="00BC2FBF"/>
    <w:rsid w:val="00BC35A9"/>
    <w:rsid w:val="00BC3894"/>
    <w:rsid w:val="00BC3E6A"/>
    <w:rsid w:val="00BC4F23"/>
    <w:rsid w:val="00BC5B75"/>
    <w:rsid w:val="00BC5CDF"/>
    <w:rsid w:val="00BC6094"/>
    <w:rsid w:val="00BC62D5"/>
    <w:rsid w:val="00BC70A5"/>
    <w:rsid w:val="00BD07A2"/>
    <w:rsid w:val="00BD14C5"/>
    <w:rsid w:val="00BD16F0"/>
    <w:rsid w:val="00BD1B88"/>
    <w:rsid w:val="00BD231A"/>
    <w:rsid w:val="00BD26DE"/>
    <w:rsid w:val="00BD29CB"/>
    <w:rsid w:val="00BD29EB"/>
    <w:rsid w:val="00BD3091"/>
    <w:rsid w:val="00BD3784"/>
    <w:rsid w:val="00BD3B6F"/>
    <w:rsid w:val="00BD466D"/>
    <w:rsid w:val="00BD5F93"/>
    <w:rsid w:val="00BD67B9"/>
    <w:rsid w:val="00BD761B"/>
    <w:rsid w:val="00BD78F4"/>
    <w:rsid w:val="00BD7D4A"/>
    <w:rsid w:val="00BE0351"/>
    <w:rsid w:val="00BE2403"/>
    <w:rsid w:val="00BE2608"/>
    <w:rsid w:val="00BE2937"/>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E57"/>
    <w:rsid w:val="00BF6F2D"/>
    <w:rsid w:val="00BF708D"/>
    <w:rsid w:val="00BF7311"/>
    <w:rsid w:val="00BF7D7D"/>
    <w:rsid w:val="00BF7F3A"/>
    <w:rsid w:val="00C00966"/>
    <w:rsid w:val="00C00A91"/>
    <w:rsid w:val="00C00B28"/>
    <w:rsid w:val="00C00B75"/>
    <w:rsid w:val="00C00B92"/>
    <w:rsid w:val="00C03DAA"/>
    <w:rsid w:val="00C05611"/>
    <w:rsid w:val="00C05E61"/>
    <w:rsid w:val="00C07278"/>
    <w:rsid w:val="00C07711"/>
    <w:rsid w:val="00C100E0"/>
    <w:rsid w:val="00C10640"/>
    <w:rsid w:val="00C11188"/>
    <w:rsid w:val="00C12F3C"/>
    <w:rsid w:val="00C138C7"/>
    <w:rsid w:val="00C144D1"/>
    <w:rsid w:val="00C14560"/>
    <w:rsid w:val="00C146C4"/>
    <w:rsid w:val="00C14746"/>
    <w:rsid w:val="00C14E7B"/>
    <w:rsid w:val="00C152E7"/>
    <w:rsid w:val="00C15D30"/>
    <w:rsid w:val="00C173B8"/>
    <w:rsid w:val="00C17C5E"/>
    <w:rsid w:val="00C17EFF"/>
    <w:rsid w:val="00C2045A"/>
    <w:rsid w:val="00C20632"/>
    <w:rsid w:val="00C20758"/>
    <w:rsid w:val="00C207D6"/>
    <w:rsid w:val="00C21E74"/>
    <w:rsid w:val="00C22CD2"/>
    <w:rsid w:val="00C236AF"/>
    <w:rsid w:val="00C24428"/>
    <w:rsid w:val="00C24818"/>
    <w:rsid w:val="00C249F7"/>
    <w:rsid w:val="00C24E70"/>
    <w:rsid w:val="00C25941"/>
    <w:rsid w:val="00C2718E"/>
    <w:rsid w:val="00C2728C"/>
    <w:rsid w:val="00C27322"/>
    <w:rsid w:val="00C313EF"/>
    <w:rsid w:val="00C315D0"/>
    <w:rsid w:val="00C3160F"/>
    <w:rsid w:val="00C32457"/>
    <w:rsid w:val="00C3271A"/>
    <w:rsid w:val="00C32942"/>
    <w:rsid w:val="00C32AEE"/>
    <w:rsid w:val="00C32B59"/>
    <w:rsid w:val="00C32BE6"/>
    <w:rsid w:val="00C33149"/>
    <w:rsid w:val="00C35C23"/>
    <w:rsid w:val="00C35C62"/>
    <w:rsid w:val="00C362DD"/>
    <w:rsid w:val="00C36A54"/>
    <w:rsid w:val="00C3792B"/>
    <w:rsid w:val="00C37A8E"/>
    <w:rsid w:val="00C402D6"/>
    <w:rsid w:val="00C403E0"/>
    <w:rsid w:val="00C40A07"/>
    <w:rsid w:val="00C40B58"/>
    <w:rsid w:val="00C41279"/>
    <w:rsid w:val="00C41BF0"/>
    <w:rsid w:val="00C41C6A"/>
    <w:rsid w:val="00C4257C"/>
    <w:rsid w:val="00C43337"/>
    <w:rsid w:val="00C4487D"/>
    <w:rsid w:val="00C4522B"/>
    <w:rsid w:val="00C4559B"/>
    <w:rsid w:val="00C45C86"/>
    <w:rsid w:val="00C460FA"/>
    <w:rsid w:val="00C46D5F"/>
    <w:rsid w:val="00C477A3"/>
    <w:rsid w:val="00C50391"/>
    <w:rsid w:val="00C50562"/>
    <w:rsid w:val="00C51BE6"/>
    <w:rsid w:val="00C51C3E"/>
    <w:rsid w:val="00C523B5"/>
    <w:rsid w:val="00C535EA"/>
    <w:rsid w:val="00C53F3E"/>
    <w:rsid w:val="00C53FCF"/>
    <w:rsid w:val="00C5478A"/>
    <w:rsid w:val="00C547EB"/>
    <w:rsid w:val="00C548FF"/>
    <w:rsid w:val="00C5496C"/>
    <w:rsid w:val="00C554DC"/>
    <w:rsid w:val="00C55892"/>
    <w:rsid w:val="00C56AAC"/>
    <w:rsid w:val="00C5779D"/>
    <w:rsid w:val="00C60266"/>
    <w:rsid w:val="00C61793"/>
    <w:rsid w:val="00C62222"/>
    <w:rsid w:val="00C62781"/>
    <w:rsid w:val="00C62DE3"/>
    <w:rsid w:val="00C633F4"/>
    <w:rsid w:val="00C63556"/>
    <w:rsid w:val="00C63AAE"/>
    <w:rsid w:val="00C63D4D"/>
    <w:rsid w:val="00C64594"/>
    <w:rsid w:val="00C65DBD"/>
    <w:rsid w:val="00C7018C"/>
    <w:rsid w:val="00C70CFC"/>
    <w:rsid w:val="00C71E69"/>
    <w:rsid w:val="00C71F72"/>
    <w:rsid w:val="00C72013"/>
    <w:rsid w:val="00C73CCF"/>
    <w:rsid w:val="00C73F2A"/>
    <w:rsid w:val="00C741F6"/>
    <w:rsid w:val="00C74375"/>
    <w:rsid w:val="00C743AF"/>
    <w:rsid w:val="00C74F96"/>
    <w:rsid w:val="00C7534F"/>
    <w:rsid w:val="00C755AE"/>
    <w:rsid w:val="00C759DC"/>
    <w:rsid w:val="00C76294"/>
    <w:rsid w:val="00C7712D"/>
    <w:rsid w:val="00C77F5F"/>
    <w:rsid w:val="00C81D2D"/>
    <w:rsid w:val="00C836CC"/>
    <w:rsid w:val="00C836F5"/>
    <w:rsid w:val="00C83F43"/>
    <w:rsid w:val="00C84FE5"/>
    <w:rsid w:val="00C851F7"/>
    <w:rsid w:val="00C852FD"/>
    <w:rsid w:val="00C86290"/>
    <w:rsid w:val="00C8641B"/>
    <w:rsid w:val="00C8696D"/>
    <w:rsid w:val="00C877E4"/>
    <w:rsid w:val="00C87F0B"/>
    <w:rsid w:val="00C90FC3"/>
    <w:rsid w:val="00C91CB5"/>
    <w:rsid w:val="00C92612"/>
    <w:rsid w:val="00C92702"/>
    <w:rsid w:val="00C95106"/>
    <w:rsid w:val="00C954C3"/>
    <w:rsid w:val="00C96176"/>
    <w:rsid w:val="00C96DCC"/>
    <w:rsid w:val="00CA02F3"/>
    <w:rsid w:val="00CA1B74"/>
    <w:rsid w:val="00CA1D6F"/>
    <w:rsid w:val="00CA2C81"/>
    <w:rsid w:val="00CA2C92"/>
    <w:rsid w:val="00CA370E"/>
    <w:rsid w:val="00CA3D9F"/>
    <w:rsid w:val="00CA4402"/>
    <w:rsid w:val="00CA44C7"/>
    <w:rsid w:val="00CA4B66"/>
    <w:rsid w:val="00CA5A98"/>
    <w:rsid w:val="00CB034D"/>
    <w:rsid w:val="00CB0B58"/>
    <w:rsid w:val="00CB0C46"/>
    <w:rsid w:val="00CB170C"/>
    <w:rsid w:val="00CB2886"/>
    <w:rsid w:val="00CB299C"/>
    <w:rsid w:val="00CB2B7F"/>
    <w:rsid w:val="00CB2C5B"/>
    <w:rsid w:val="00CB2EB2"/>
    <w:rsid w:val="00CB41A3"/>
    <w:rsid w:val="00CB4660"/>
    <w:rsid w:val="00CB472E"/>
    <w:rsid w:val="00CB4AF9"/>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67EF"/>
    <w:rsid w:val="00CC754F"/>
    <w:rsid w:val="00CC765A"/>
    <w:rsid w:val="00CD0468"/>
    <w:rsid w:val="00CD0581"/>
    <w:rsid w:val="00CD10E7"/>
    <w:rsid w:val="00CD1C59"/>
    <w:rsid w:val="00CD1CAE"/>
    <w:rsid w:val="00CD23E3"/>
    <w:rsid w:val="00CD2AED"/>
    <w:rsid w:val="00CD2DAF"/>
    <w:rsid w:val="00CD36BC"/>
    <w:rsid w:val="00CD3DFF"/>
    <w:rsid w:val="00CD43B6"/>
    <w:rsid w:val="00CD4A3D"/>
    <w:rsid w:val="00CD4A9E"/>
    <w:rsid w:val="00CD4DFD"/>
    <w:rsid w:val="00CD5C97"/>
    <w:rsid w:val="00CD5ED1"/>
    <w:rsid w:val="00CD643A"/>
    <w:rsid w:val="00CD64A4"/>
    <w:rsid w:val="00CD6B65"/>
    <w:rsid w:val="00CD6CDA"/>
    <w:rsid w:val="00CD7325"/>
    <w:rsid w:val="00CD769D"/>
    <w:rsid w:val="00CD77D4"/>
    <w:rsid w:val="00CE01D8"/>
    <w:rsid w:val="00CE05F8"/>
    <w:rsid w:val="00CE182A"/>
    <w:rsid w:val="00CE4250"/>
    <w:rsid w:val="00CE4611"/>
    <w:rsid w:val="00CE5851"/>
    <w:rsid w:val="00CE58E0"/>
    <w:rsid w:val="00CE6C3A"/>
    <w:rsid w:val="00CE7B9E"/>
    <w:rsid w:val="00CE7FD5"/>
    <w:rsid w:val="00CF02DB"/>
    <w:rsid w:val="00CF0442"/>
    <w:rsid w:val="00CF0C11"/>
    <w:rsid w:val="00CF1392"/>
    <w:rsid w:val="00CF1E1B"/>
    <w:rsid w:val="00CF2215"/>
    <w:rsid w:val="00CF2433"/>
    <w:rsid w:val="00CF2488"/>
    <w:rsid w:val="00CF3096"/>
    <w:rsid w:val="00CF3C76"/>
    <w:rsid w:val="00CF3C77"/>
    <w:rsid w:val="00CF5493"/>
    <w:rsid w:val="00CF59C7"/>
    <w:rsid w:val="00CF5B42"/>
    <w:rsid w:val="00CF61B2"/>
    <w:rsid w:val="00CF6C24"/>
    <w:rsid w:val="00CF6C82"/>
    <w:rsid w:val="00CF75AB"/>
    <w:rsid w:val="00CF7AD9"/>
    <w:rsid w:val="00D00554"/>
    <w:rsid w:val="00D01711"/>
    <w:rsid w:val="00D01F2E"/>
    <w:rsid w:val="00D02785"/>
    <w:rsid w:val="00D02F6D"/>
    <w:rsid w:val="00D03D06"/>
    <w:rsid w:val="00D05155"/>
    <w:rsid w:val="00D06609"/>
    <w:rsid w:val="00D0794D"/>
    <w:rsid w:val="00D0796A"/>
    <w:rsid w:val="00D07E4A"/>
    <w:rsid w:val="00D07F9B"/>
    <w:rsid w:val="00D104F1"/>
    <w:rsid w:val="00D10B54"/>
    <w:rsid w:val="00D114D8"/>
    <w:rsid w:val="00D11568"/>
    <w:rsid w:val="00D11645"/>
    <w:rsid w:val="00D11755"/>
    <w:rsid w:val="00D11B0B"/>
    <w:rsid w:val="00D11F27"/>
    <w:rsid w:val="00D12E44"/>
    <w:rsid w:val="00D13D70"/>
    <w:rsid w:val="00D14045"/>
    <w:rsid w:val="00D14D4D"/>
    <w:rsid w:val="00D14D95"/>
    <w:rsid w:val="00D15238"/>
    <w:rsid w:val="00D15460"/>
    <w:rsid w:val="00D15D94"/>
    <w:rsid w:val="00D166DF"/>
    <w:rsid w:val="00D16F9A"/>
    <w:rsid w:val="00D171B3"/>
    <w:rsid w:val="00D172A4"/>
    <w:rsid w:val="00D176CB"/>
    <w:rsid w:val="00D176E6"/>
    <w:rsid w:val="00D17989"/>
    <w:rsid w:val="00D204B1"/>
    <w:rsid w:val="00D205BC"/>
    <w:rsid w:val="00D20C6F"/>
    <w:rsid w:val="00D21187"/>
    <w:rsid w:val="00D2126F"/>
    <w:rsid w:val="00D21ECD"/>
    <w:rsid w:val="00D2234D"/>
    <w:rsid w:val="00D22490"/>
    <w:rsid w:val="00D22623"/>
    <w:rsid w:val="00D22AEB"/>
    <w:rsid w:val="00D22B67"/>
    <w:rsid w:val="00D2335B"/>
    <w:rsid w:val="00D23865"/>
    <w:rsid w:val="00D2408F"/>
    <w:rsid w:val="00D249BD"/>
    <w:rsid w:val="00D26199"/>
    <w:rsid w:val="00D270F9"/>
    <w:rsid w:val="00D27161"/>
    <w:rsid w:val="00D27528"/>
    <w:rsid w:val="00D2764C"/>
    <w:rsid w:val="00D2784C"/>
    <w:rsid w:val="00D279CB"/>
    <w:rsid w:val="00D304A5"/>
    <w:rsid w:val="00D30A1C"/>
    <w:rsid w:val="00D3112A"/>
    <w:rsid w:val="00D311F7"/>
    <w:rsid w:val="00D31934"/>
    <w:rsid w:val="00D32062"/>
    <w:rsid w:val="00D336EB"/>
    <w:rsid w:val="00D33730"/>
    <w:rsid w:val="00D349DB"/>
    <w:rsid w:val="00D34E4C"/>
    <w:rsid w:val="00D35744"/>
    <w:rsid w:val="00D35EBB"/>
    <w:rsid w:val="00D369D8"/>
    <w:rsid w:val="00D3752C"/>
    <w:rsid w:val="00D379F2"/>
    <w:rsid w:val="00D42087"/>
    <w:rsid w:val="00D422F8"/>
    <w:rsid w:val="00D42BDB"/>
    <w:rsid w:val="00D42CD5"/>
    <w:rsid w:val="00D42F2A"/>
    <w:rsid w:val="00D42F96"/>
    <w:rsid w:val="00D435A4"/>
    <w:rsid w:val="00D4385A"/>
    <w:rsid w:val="00D44005"/>
    <w:rsid w:val="00D448C0"/>
    <w:rsid w:val="00D44B60"/>
    <w:rsid w:val="00D464E9"/>
    <w:rsid w:val="00D502ED"/>
    <w:rsid w:val="00D504A5"/>
    <w:rsid w:val="00D50626"/>
    <w:rsid w:val="00D51725"/>
    <w:rsid w:val="00D51D1E"/>
    <w:rsid w:val="00D520C6"/>
    <w:rsid w:val="00D52C56"/>
    <w:rsid w:val="00D534D1"/>
    <w:rsid w:val="00D544D7"/>
    <w:rsid w:val="00D54EE9"/>
    <w:rsid w:val="00D558C2"/>
    <w:rsid w:val="00D56BDB"/>
    <w:rsid w:val="00D56CA5"/>
    <w:rsid w:val="00D573F8"/>
    <w:rsid w:val="00D577B1"/>
    <w:rsid w:val="00D610FD"/>
    <w:rsid w:val="00D61272"/>
    <w:rsid w:val="00D618CF"/>
    <w:rsid w:val="00D61F3B"/>
    <w:rsid w:val="00D62FE0"/>
    <w:rsid w:val="00D6309E"/>
    <w:rsid w:val="00D64C18"/>
    <w:rsid w:val="00D65298"/>
    <w:rsid w:val="00D6552F"/>
    <w:rsid w:val="00D65609"/>
    <w:rsid w:val="00D6654D"/>
    <w:rsid w:val="00D66CD0"/>
    <w:rsid w:val="00D6740B"/>
    <w:rsid w:val="00D67C79"/>
    <w:rsid w:val="00D70948"/>
    <w:rsid w:val="00D7155C"/>
    <w:rsid w:val="00D7164B"/>
    <w:rsid w:val="00D71C48"/>
    <w:rsid w:val="00D71FCA"/>
    <w:rsid w:val="00D726EB"/>
    <w:rsid w:val="00D728D9"/>
    <w:rsid w:val="00D7341F"/>
    <w:rsid w:val="00D73628"/>
    <w:rsid w:val="00D7368A"/>
    <w:rsid w:val="00D73C9A"/>
    <w:rsid w:val="00D75634"/>
    <w:rsid w:val="00D7630C"/>
    <w:rsid w:val="00D7682D"/>
    <w:rsid w:val="00D7697A"/>
    <w:rsid w:val="00D76A21"/>
    <w:rsid w:val="00D76ABE"/>
    <w:rsid w:val="00D773DE"/>
    <w:rsid w:val="00D77CCC"/>
    <w:rsid w:val="00D802DE"/>
    <w:rsid w:val="00D806AD"/>
    <w:rsid w:val="00D80A08"/>
    <w:rsid w:val="00D81DDC"/>
    <w:rsid w:val="00D81E81"/>
    <w:rsid w:val="00D82E17"/>
    <w:rsid w:val="00D8348E"/>
    <w:rsid w:val="00D83C85"/>
    <w:rsid w:val="00D84032"/>
    <w:rsid w:val="00D84302"/>
    <w:rsid w:val="00D843AB"/>
    <w:rsid w:val="00D85251"/>
    <w:rsid w:val="00D85A56"/>
    <w:rsid w:val="00D86220"/>
    <w:rsid w:val="00D86514"/>
    <w:rsid w:val="00D86B5A"/>
    <w:rsid w:val="00D86BE3"/>
    <w:rsid w:val="00D873F2"/>
    <w:rsid w:val="00D87586"/>
    <w:rsid w:val="00D87680"/>
    <w:rsid w:val="00D8785E"/>
    <w:rsid w:val="00D909F2"/>
    <w:rsid w:val="00D91004"/>
    <w:rsid w:val="00D913D9"/>
    <w:rsid w:val="00D91809"/>
    <w:rsid w:val="00D928C4"/>
    <w:rsid w:val="00D9294E"/>
    <w:rsid w:val="00D9320A"/>
    <w:rsid w:val="00D93581"/>
    <w:rsid w:val="00D93DC5"/>
    <w:rsid w:val="00D9413A"/>
    <w:rsid w:val="00D942A6"/>
    <w:rsid w:val="00D947E5"/>
    <w:rsid w:val="00D94CF8"/>
    <w:rsid w:val="00D976FC"/>
    <w:rsid w:val="00DA0CAD"/>
    <w:rsid w:val="00DA1EB2"/>
    <w:rsid w:val="00DA21B1"/>
    <w:rsid w:val="00DA362B"/>
    <w:rsid w:val="00DA3714"/>
    <w:rsid w:val="00DA587C"/>
    <w:rsid w:val="00DA5A49"/>
    <w:rsid w:val="00DA6152"/>
    <w:rsid w:val="00DB0D6C"/>
    <w:rsid w:val="00DB0EF8"/>
    <w:rsid w:val="00DB182C"/>
    <w:rsid w:val="00DB1D05"/>
    <w:rsid w:val="00DB243F"/>
    <w:rsid w:val="00DB29E2"/>
    <w:rsid w:val="00DB2D0B"/>
    <w:rsid w:val="00DB310C"/>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AAA"/>
    <w:rsid w:val="00DB7D30"/>
    <w:rsid w:val="00DC0977"/>
    <w:rsid w:val="00DC19F5"/>
    <w:rsid w:val="00DC3B9A"/>
    <w:rsid w:val="00DC4790"/>
    <w:rsid w:val="00DC71E0"/>
    <w:rsid w:val="00DC7B4C"/>
    <w:rsid w:val="00DD0245"/>
    <w:rsid w:val="00DD156D"/>
    <w:rsid w:val="00DD1C2F"/>
    <w:rsid w:val="00DD2342"/>
    <w:rsid w:val="00DD235E"/>
    <w:rsid w:val="00DD2A3A"/>
    <w:rsid w:val="00DD3CE3"/>
    <w:rsid w:val="00DD3EB2"/>
    <w:rsid w:val="00DD44D7"/>
    <w:rsid w:val="00DD5557"/>
    <w:rsid w:val="00DD65C6"/>
    <w:rsid w:val="00DD7B27"/>
    <w:rsid w:val="00DE00A2"/>
    <w:rsid w:val="00DE06F8"/>
    <w:rsid w:val="00DE2074"/>
    <w:rsid w:val="00DE2198"/>
    <w:rsid w:val="00DE265E"/>
    <w:rsid w:val="00DE2674"/>
    <w:rsid w:val="00DE31A0"/>
    <w:rsid w:val="00DE349F"/>
    <w:rsid w:val="00DE4A6E"/>
    <w:rsid w:val="00DE4BFE"/>
    <w:rsid w:val="00DE4DDE"/>
    <w:rsid w:val="00DE52CA"/>
    <w:rsid w:val="00DE5903"/>
    <w:rsid w:val="00DE5B8F"/>
    <w:rsid w:val="00DE635A"/>
    <w:rsid w:val="00DE767C"/>
    <w:rsid w:val="00DE7EE8"/>
    <w:rsid w:val="00DF132A"/>
    <w:rsid w:val="00DF1A5D"/>
    <w:rsid w:val="00DF231B"/>
    <w:rsid w:val="00DF2C28"/>
    <w:rsid w:val="00DF38F8"/>
    <w:rsid w:val="00DF3C90"/>
    <w:rsid w:val="00DF4375"/>
    <w:rsid w:val="00DF4CD7"/>
    <w:rsid w:val="00DF53CB"/>
    <w:rsid w:val="00DF5920"/>
    <w:rsid w:val="00DF6868"/>
    <w:rsid w:val="00DF6D7F"/>
    <w:rsid w:val="00DF793F"/>
    <w:rsid w:val="00E000B2"/>
    <w:rsid w:val="00E00A75"/>
    <w:rsid w:val="00E01709"/>
    <w:rsid w:val="00E01ACE"/>
    <w:rsid w:val="00E02EAA"/>
    <w:rsid w:val="00E03F59"/>
    <w:rsid w:val="00E0403A"/>
    <w:rsid w:val="00E04650"/>
    <w:rsid w:val="00E04BC6"/>
    <w:rsid w:val="00E05F6D"/>
    <w:rsid w:val="00E077BB"/>
    <w:rsid w:val="00E101BE"/>
    <w:rsid w:val="00E112AF"/>
    <w:rsid w:val="00E1147F"/>
    <w:rsid w:val="00E121EA"/>
    <w:rsid w:val="00E124A6"/>
    <w:rsid w:val="00E12D93"/>
    <w:rsid w:val="00E13613"/>
    <w:rsid w:val="00E13B14"/>
    <w:rsid w:val="00E13B28"/>
    <w:rsid w:val="00E13C97"/>
    <w:rsid w:val="00E15BC0"/>
    <w:rsid w:val="00E15D17"/>
    <w:rsid w:val="00E16312"/>
    <w:rsid w:val="00E165B9"/>
    <w:rsid w:val="00E17563"/>
    <w:rsid w:val="00E17838"/>
    <w:rsid w:val="00E17B04"/>
    <w:rsid w:val="00E201D7"/>
    <w:rsid w:val="00E20470"/>
    <w:rsid w:val="00E20528"/>
    <w:rsid w:val="00E2093A"/>
    <w:rsid w:val="00E20B7D"/>
    <w:rsid w:val="00E20C9A"/>
    <w:rsid w:val="00E20D8B"/>
    <w:rsid w:val="00E20FAD"/>
    <w:rsid w:val="00E212B4"/>
    <w:rsid w:val="00E22609"/>
    <w:rsid w:val="00E2325A"/>
    <w:rsid w:val="00E24349"/>
    <w:rsid w:val="00E243E7"/>
    <w:rsid w:val="00E246C8"/>
    <w:rsid w:val="00E24C47"/>
    <w:rsid w:val="00E25374"/>
    <w:rsid w:val="00E25593"/>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244"/>
    <w:rsid w:val="00E338AF"/>
    <w:rsid w:val="00E338B1"/>
    <w:rsid w:val="00E36EFB"/>
    <w:rsid w:val="00E37E4E"/>
    <w:rsid w:val="00E41C56"/>
    <w:rsid w:val="00E43A78"/>
    <w:rsid w:val="00E43C8B"/>
    <w:rsid w:val="00E4460B"/>
    <w:rsid w:val="00E4485A"/>
    <w:rsid w:val="00E44B6C"/>
    <w:rsid w:val="00E45919"/>
    <w:rsid w:val="00E45C37"/>
    <w:rsid w:val="00E46968"/>
    <w:rsid w:val="00E52169"/>
    <w:rsid w:val="00E53506"/>
    <w:rsid w:val="00E5456F"/>
    <w:rsid w:val="00E54E60"/>
    <w:rsid w:val="00E55581"/>
    <w:rsid w:val="00E555C7"/>
    <w:rsid w:val="00E55842"/>
    <w:rsid w:val="00E55D94"/>
    <w:rsid w:val="00E564BC"/>
    <w:rsid w:val="00E56835"/>
    <w:rsid w:val="00E57266"/>
    <w:rsid w:val="00E57363"/>
    <w:rsid w:val="00E579C3"/>
    <w:rsid w:val="00E604DD"/>
    <w:rsid w:val="00E61A7C"/>
    <w:rsid w:val="00E625D5"/>
    <w:rsid w:val="00E62726"/>
    <w:rsid w:val="00E6278C"/>
    <w:rsid w:val="00E62FB4"/>
    <w:rsid w:val="00E633C9"/>
    <w:rsid w:val="00E6361A"/>
    <w:rsid w:val="00E63F4D"/>
    <w:rsid w:val="00E64886"/>
    <w:rsid w:val="00E65176"/>
    <w:rsid w:val="00E65DD9"/>
    <w:rsid w:val="00E66314"/>
    <w:rsid w:val="00E679E2"/>
    <w:rsid w:val="00E67AEE"/>
    <w:rsid w:val="00E67F9A"/>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0F5"/>
    <w:rsid w:val="00E971CB"/>
    <w:rsid w:val="00E97373"/>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1EC"/>
    <w:rsid w:val="00EB5573"/>
    <w:rsid w:val="00EB5BD1"/>
    <w:rsid w:val="00EB69A1"/>
    <w:rsid w:val="00EB7F6E"/>
    <w:rsid w:val="00EC01D5"/>
    <w:rsid w:val="00EC0C44"/>
    <w:rsid w:val="00EC1C95"/>
    <w:rsid w:val="00EC3110"/>
    <w:rsid w:val="00EC3AE4"/>
    <w:rsid w:val="00EC520A"/>
    <w:rsid w:val="00EC583F"/>
    <w:rsid w:val="00EC68D2"/>
    <w:rsid w:val="00EC6EE8"/>
    <w:rsid w:val="00EC700A"/>
    <w:rsid w:val="00EC75E6"/>
    <w:rsid w:val="00EC7C50"/>
    <w:rsid w:val="00EC7C71"/>
    <w:rsid w:val="00EC7D6A"/>
    <w:rsid w:val="00EC7E36"/>
    <w:rsid w:val="00EC7EC8"/>
    <w:rsid w:val="00ED0984"/>
    <w:rsid w:val="00ED1BC6"/>
    <w:rsid w:val="00ED203F"/>
    <w:rsid w:val="00ED3103"/>
    <w:rsid w:val="00ED3C50"/>
    <w:rsid w:val="00ED4BC5"/>
    <w:rsid w:val="00ED542E"/>
    <w:rsid w:val="00ED63FD"/>
    <w:rsid w:val="00ED6578"/>
    <w:rsid w:val="00ED6785"/>
    <w:rsid w:val="00ED6925"/>
    <w:rsid w:val="00ED697D"/>
    <w:rsid w:val="00EE0372"/>
    <w:rsid w:val="00EE0AB9"/>
    <w:rsid w:val="00EE1EA5"/>
    <w:rsid w:val="00EE3254"/>
    <w:rsid w:val="00EE3564"/>
    <w:rsid w:val="00EE37E8"/>
    <w:rsid w:val="00EE3886"/>
    <w:rsid w:val="00EE3A8C"/>
    <w:rsid w:val="00EE3AE2"/>
    <w:rsid w:val="00EE3CC6"/>
    <w:rsid w:val="00EE470B"/>
    <w:rsid w:val="00EE4B68"/>
    <w:rsid w:val="00EE4BB7"/>
    <w:rsid w:val="00EE4CA5"/>
    <w:rsid w:val="00EE5422"/>
    <w:rsid w:val="00EE5938"/>
    <w:rsid w:val="00EE5B04"/>
    <w:rsid w:val="00EE5D1E"/>
    <w:rsid w:val="00EE5F52"/>
    <w:rsid w:val="00EE6D03"/>
    <w:rsid w:val="00EE729F"/>
    <w:rsid w:val="00EF09ED"/>
    <w:rsid w:val="00EF0CC8"/>
    <w:rsid w:val="00EF117B"/>
    <w:rsid w:val="00EF17B6"/>
    <w:rsid w:val="00EF294B"/>
    <w:rsid w:val="00EF2D09"/>
    <w:rsid w:val="00EF2DF2"/>
    <w:rsid w:val="00EF3DFC"/>
    <w:rsid w:val="00EF4871"/>
    <w:rsid w:val="00EF4C3C"/>
    <w:rsid w:val="00EF5115"/>
    <w:rsid w:val="00EF52F7"/>
    <w:rsid w:val="00EF5355"/>
    <w:rsid w:val="00EF5601"/>
    <w:rsid w:val="00EF5A80"/>
    <w:rsid w:val="00EF5F0F"/>
    <w:rsid w:val="00EF61BC"/>
    <w:rsid w:val="00EF6321"/>
    <w:rsid w:val="00EF64C2"/>
    <w:rsid w:val="00EF6B35"/>
    <w:rsid w:val="00EF7DDF"/>
    <w:rsid w:val="00F002AC"/>
    <w:rsid w:val="00F003D2"/>
    <w:rsid w:val="00F00642"/>
    <w:rsid w:val="00F01350"/>
    <w:rsid w:val="00F01593"/>
    <w:rsid w:val="00F01731"/>
    <w:rsid w:val="00F01C1D"/>
    <w:rsid w:val="00F02BDA"/>
    <w:rsid w:val="00F02DCA"/>
    <w:rsid w:val="00F03473"/>
    <w:rsid w:val="00F048BD"/>
    <w:rsid w:val="00F04900"/>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1FC0"/>
    <w:rsid w:val="00F2219B"/>
    <w:rsid w:val="00F225B5"/>
    <w:rsid w:val="00F22B44"/>
    <w:rsid w:val="00F231C6"/>
    <w:rsid w:val="00F23928"/>
    <w:rsid w:val="00F23E11"/>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24C6"/>
    <w:rsid w:val="00F3253B"/>
    <w:rsid w:val="00F3362D"/>
    <w:rsid w:val="00F339EC"/>
    <w:rsid w:val="00F3500F"/>
    <w:rsid w:val="00F35BA9"/>
    <w:rsid w:val="00F360E7"/>
    <w:rsid w:val="00F36F46"/>
    <w:rsid w:val="00F37DF0"/>
    <w:rsid w:val="00F40DB3"/>
    <w:rsid w:val="00F40E56"/>
    <w:rsid w:val="00F410BF"/>
    <w:rsid w:val="00F41342"/>
    <w:rsid w:val="00F415B5"/>
    <w:rsid w:val="00F41B4B"/>
    <w:rsid w:val="00F41E79"/>
    <w:rsid w:val="00F4259C"/>
    <w:rsid w:val="00F42997"/>
    <w:rsid w:val="00F436E7"/>
    <w:rsid w:val="00F43ED5"/>
    <w:rsid w:val="00F43FFA"/>
    <w:rsid w:val="00F44039"/>
    <w:rsid w:val="00F44AEA"/>
    <w:rsid w:val="00F455A9"/>
    <w:rsid w:val="00F459A6"/>
    <w:rsid w:val="00F47845"/>
    <w:rsid w:val="00F510A5"/>
    <w:rsid w:val="00F511B9"/>
    <w:rsid w:val="00F519BF"/>
    <w:rsid w:val="00F52A13"/>
    <w:rsid w:val="00F531ED"/>
    <w:rsid w:val="00F53A1E"/>
    <w:rsid w:val="00F5471B"/>
    <w:rsid w:val="00F5549D"/>
    <w:rsid w:val="00F557E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6B2C"/>
    <w:rsid w:val="00F67C34"/>
    <w:rsid w:val="00F7000F"/>
    <w:rsid w:val="00F70588"/>
    <w:rsid w:val="00F7092F"/>
    <w:rsid w:val="00F70CE2"/>
    <w:rsid w:val="00F70D48"/>
    <w:rsid w:val="00F70E1D"/>
    <w:rsid w:val="00F71BC1"/>
    <w:rsid w:val="00F71C8E"/>
    <w:rsid w:val="00F7246A"/>
    <w:rsid w:val="00F7286D"/>
    <w:rsid w:val="00F72DB6"/>
    <w:rsid w:val="00F73FEE"/>
    <w:rsid w:val="00F75A5D"/>
    <w:rsid w:val="00F75FEC"/>
    <w:rsid w:val="00F80939"/>
    <w:rsid w:val="00F8128B"/>
    <w:rsid w:val="00F81C8F"/>
    <w:rsid w:val="00F82768"/>
    <w:rsid w:val="00F82A9C"/>
    <w:rsid w:val="00F83C47"/>
    <w:rsid w:val="00F84E9A"/>
    <w:rsid w:val="00F857EC"/>
    <w:rsid w:val="00F865A2"/>
    <w:rsid w:val="00F8788B"/>
    <w:rsid w:val="00F87F36"/>
    <w:rsid w:val="00F913EE"/>
    <w:rsid w:val="00F9167A"/>
    <w:rsid w:val="00F91786"/>
    <w:rsid w:val="00F917FF"/>
    <w:rsid w:val="00F91B44"/>
    <w:rsid w:val="00F92551"/>
    <w:rsid w:val="00F92FB4"/>
    <w:rsid w:val="00F9336A"/>
    <w:rsid w:val="00F93EAE"/>
    <w:rsid w:val="00F95227"/>
    <w:rsid w:val="00F95399"/>
    <w:rsid w:val="00F95D77"/>
    <w:rsid w:val="00F96CD4"/>
    <w:rsid w:val="00F976FF"/>
    <w:rsid w:val="00F97C7E"/>
    <w:rsid w:val="00FA0063"/>
    <w:rsid w:val="00FA0084"/>
    <w:rsid w:val="00FA07C1"/>
    <w:rsid w:val="00FA0A4B"/>
    <w:rsid w:val="00FA13EE"/>
    <w:rsid w:val="00FA14D7"/>
    <w:rsid w:val="00FA15E7"/>
    <w:rsid w:val="00FA2BEE"/>
    <w:rsid w:val="00FA436C"/>
    <w:rsid w:val="00FA441E"/>
    <w:rsid w:val="00FA5133"/>
    <w:rsid w:val="00FA613D"/>
    <w:rsid w:val="00FA61BC"/>
    <w:rsid w:val="00FA63B7"/>
    <w:rsid w:val="00FA7440"/>
    <w:rsid w:val="00FA766F"/>
    <w:rsid w:val="00FA77D5"/>
    <w:rsid w:val="00FA791D"/>
    <w:rsid w:val="00FB0382"/>
    <w:rsid w:val="00FB0AE7"/>
    <w:rsid w:val="00FB1053"/>
    <w:rsid w:val="00FB1269"/>
    <w:rsid w:val="00FB16F2"/>
    <w:rsid w:val="00FB1BAC"/>
    <w:rsid w:val="00FB23B4"/>
    <w:rsid w:val="00FB2BB9"/>
    <w:rsid w:val="00FB3B25"/>
    <w:rsid w:val="00FB4AC4"/>
    <w:rsid w:val="00FB4B38"/>
    <w:rsid w:val="00FB4DEF"/>
    <w:rsid w:val="00FB50D6"/>
    <w:rsid w:val="00FB57AC"/>
    <w:rsid w:val="00FB598C"/>
    <w:rsid w:val="00FB722D"/>
    <w:rsid w:val="00FB7564"/>
    <w:rsid w:val="00FC09FE"/>
    <w:rsid w:val="00FC2A47"/>
    <w:rsid w:val="00FC2C87"/>
    <w:rsid w:val="00FC3955"/>
    <w:rsid w:val="00FC3A46"/>
    <w:rsid w:val="00FC42B5"/>
    <w:rsid w:val="00FC68C7"/>
    <w:rsid w:val="00FC77B7"/>
    <w:rsid w:val="00FD097E"/>
    <w:rsid w:val="00FD0B42"/>
    <w:rsid w:val="00FD0C32"/>
    <w:rsid w:val="00FD0D31"/>
    <w:rsid w:val="00FD0F93"/>
    <w:rsid w:val="00FD1524"/>
    <w:rsid w:val="00FD1E44"/>
    <w:rsid w:val="00FD1EE4"/>
    <w:rsid w:val="00FD2476"/>
    <w:rsid w:val="00FD37AC"/>
    <w:rsid w:val="00FD415E"/>
    <w:rsid w:val="00FD420B"/>
    <w:rsid w:val="00FD42FB"/>
    <w:rsid w:val="00FD5AE1"/>
    <w:rsid w:val="00FD633D"/>
    <w:rsid w:val="00FD6DF8"/>
    <w:rsid w:val="00FD714A"/>
    <w:rsid w:val="00FE05A9"/>
    <w:rsid w:val="00FE083B"/>
    <w:rsid w:val="00FE0A89"/>
    <w:rsid w:val="00FE0D46"/>
    <w:rsid w:val="00FE16C7"/>
    <w:rsid w:val="00FE17BB"/>
    <w:rsid w:val="00FE19F0"/>
    <w:rsid w:val="00FE1CE8"/>
    <w:rsid w:val="00FE223A"/>
    <w:rsid w:val="00FE2645"/>
    <w:rsid w:val="00FE3DE4"/>
    <w:rsid w:val="00FE4A6D"/>
    <w:rsid w:val="00FE4B42"/>
    <w:rsid w:val="00FE5083"/>
    <w:rsid w:val="00FE565E"/>
    <w:rsid w:val="00FE5B42"/>
    <w:rsid w:val="00FE6911"/>
    <w:rsid w:val="00FE7015"/>
    <w:rsid w:val="00FE772F"/>
    <w:rsid w:val="00FE7B3A"/>
    <w:rsid w:val="00FF023F"/>
    <w:rsid w:val="00FF0767"/>
    <w:rsid w:val="00FF103B"/>
    <w:rsid w:val="00FF112B"/>
    <w:rsid w:val="00FF139A"/>
    <w:rsid w:val="00FF1B20"/>
    <w:rsid w:val="00FF1CF0"/>
    <w:rsid w:val="00FF260C"/>
    <w:rsid w:val="00FF2A4D"/>
    <w:rsid w:val="00FF2B80"/>
    <w:rsid w:val="00FF3E00"/>
    <w:rsid w:val="00FF4570"/>
    <w:rsid w:val="00FF5A09"/>
    <w:rsid w:val="00FF5D92"/>
    <w:rsid w:val="00FF6625"/>
    <w:rsid w:val="00FF6E1D"/>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46CD6D"/>
  <w15:docId w15:val="{E476BC1F-1777-7F44-BF0E-C567A7B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865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rPr>
      <w:rFonts w:eastAsiaTheme="minorEastAsia"/>
    </w:rPr>
  </w:style>
  <w:style w:type="paragraph" w:styleId="ListParagraph">
    <w:name w:val="List Paragraph"/>
    <w:basedOn w:val="Normal"/>
    <w:uiPriority w:val="34"/>
    <w:qFormat/>
    <w:rsid w:val="0007195E"/>
    <w:pPr>
      <w:ind w:left="720"/>
      <w:contextualSpacing/>
    </w:pPr>
    <w:rPr>
      <w:rFonts w:asciiTheme="minorHAnsi" w:eastAsiaTheme="minorEastAsia"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rsid w:val="009756AD"/>
    <w:rPr>
      <w:color w:val="605E5C"/>
      <w:shd w:val="clear" w:color="auto" w:fill="E1DFDD"/>
    </w:rPr>
  </w:style>
  <w:style w:type="paragraph" w:customStyle="1" w:styleId="Normal1">
    <w:name w:val="Normal1"/>
    <w:basedOn w:val="Normal"/>
    <w:rsid w:val="00BC5B75"/>
    <w:pPr>
      <w:spacing w:before="100" w:beforeAutospacing="1" w:after="100" w:afterAutospacing="1"/>
    </w:pPr>
  </w:style>
  <w:style w:type="character" w:customStyle="1" w:styleId="apple-converted-space">
    <w:name w:val="apple-converted-space"/>
    <w:basedOn w:val="DefaultParagraphFont"/>
    <w:rsid w:val="00F8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19614936">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44276947">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0691518">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285896125">
      <w:bodyDiv w:val="1"/>
      <w:marLeft w:val="0"/>
      <w:marRight w:val="0"/>
      <w:marTop w:val="0"/>
      <w:marBottom w:val="0"/>
      <w:divBdr>
        <w:top w:val="none" w:sz="0" w:space="0" w:color="auto"/>
        <w:left w:val="none" w:sz="0" w:space="0" w:color="auto"/>
        <w:bottom w:val="none" w:sz="0" w:space="0" w:color="auto"/>
        <w:right w:val="none" w:sz="0" w:space="0" w:color="auto"/>
      </w:divBdr>
      <w:divsChild>
        <w:div w:id="986395707">
          <w:marLeft w:val="0"/>
          <w:marRight w:val="0"/>
          <w:marTop w:val="0"/>
          <w:marBottom w:val="0"/>
          <w:divBdr>
            <w:top w:val="none" w:sz="0" w:space="0" w:color="auto"/>
            <w:left w:val="none" w:sz="0" w:space="0" w:color="auto"/>
            <w:bottom w:val="none" w:sz="0" w:space="0" w:color="auto"/>
            <w:right w:val="none" w:sz="0" w:space="0" w:color="auto"/>
          </w:divBdr>
        </w:div>
        <w:div w:id="1132601140">
          <w:marLeft w:val="0"/>
          <w:marRight w:val="0"/>
          <w:marTop w:val="120"/>
          <w:marBottom w:val="0"/>
          <w:divBdr>
            <w:top w:val="single" w:sz="6" w:space="4" w:color="AAAAAA"/>
            <w:left w:val="single" w:sz="2" w:space="5" w:color="AAAAAA"/>
            <w:bottom w:val="single" w:sz="2" w:space="6" w:color="AAAAAA"/>
            <w:right w:val="single" w:sz="2" w:space="12" w:color="AAAAAA"/>
          </w:divBdr>
        </w:div>
      </w:divsChild>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3969792">
      <w:bodyDiv w:val="1"/>
      <w:marLeft w:val="0"/>
      <w:marRight w:val="0"/>
      <w:marTop w:val="0"/>
      <w:marBottom w:val="0"/>
      <w:divBdr>
        <w:top w:val="none" w:sz="0" w:space="0" w:color="auto"/>
        <w:left w:val="none" w:sz="0" w:space="0" w:color="auto"/>
        <w:bottom w:val="none" w:sz="0" w:space="0" w:color="auto"/>
        <w:right w:val="none" w:sz="0" w:space="0" w:color="auto"/>
      </w:divBdr>
      <w:divsChild>
        <w:div w:id="1687946017">
          <w:marLeft w:val="0"/>
          <w:marRight w:val="0"/>
          <w:marTop w:val="0"/>
          <w:marBottom w:val="0"/>
          <w:divBdr>
            <w:top w:val="none" w:sz="0" w:space="0" w:color="auto"/>
            <w:left w:val="none" w:sz="0" w:space="0" w:color="auto"/>
            <w:bottom w:val="none" w:sz="0" w:space="0" w:color="auto"/>
            <w:right w:val="none" w:sz="0" w:space="0" w:color="auto"/>
          </w:divBdr>
          <w:divsChild>
            <w:div w:id="1111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256986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799298315">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812176">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0186259">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104811178">
      <w:bodyDiv w:val="1"/>
      <w:marLeft w:val="0"/>
      <w:marRight w:val="0"/>
      <w:marTop w:val="0"/>
      <w:marBottom w:val="0"/>
      <w:divBdr>
        <w:top w:val="none" w:sz="0" w:space="0" w:color="auto"/>
        <w:left w:val="none" w:sz="0" w:space="0" w:color="auto"/>
        <w:bottom w:val="none" w:sz="0" w:space="0" w:color="auto"/>
        <w:right w:val="none" w:sz="0" w:space="0" w:color="auto"/>
      </w:divBdr>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085929">
      <w:bodyDiv w:val="1"/>
      <w:marLeft w:val="0"/>
      <w:marRight w:val="0"/>
      <w:marTop w:val="0"/>
      <w:marBottom w:val="0"/>
      <w:divBdr>
        <w:top w:val="none" w:sz="0" w:space="0" w:color="auto"/>
        <w:left w:val="none" w:sz="0" w:space="0" w:color="auto"/>
        <w:bottom w:val="none" w:sz="0" w:space="0" w:color="auto"/>
        <w:right w:val="none" w:sz="0" w:space="0" w:color="auto"/>
      </w:divBdr>
      <w:divsChild>
        <w:div w:id="126901263">
          <w:marLeft w:val="0"/>
          <w:marRight w:val="0"/>
          <w:marTop w:val="0"/>
          <w:marBottom w:val="0"/>
          <w:divBdr>
            <w:top w:val="none" w:sz="0" w:space="0" w:color="auto"/>
            <w:left w:val="none" w:sz="0" w:space="0" w:color="auto"/>
            <w:bottom w:val="none" w:sz="0" w:space="0" w:color="auto"/>
            <w:right w:val="none" w:sz="0" w:space="0" w:color="auto"/>
          </w:divBdr>
          <w:divsChild>
            <w:div w:id="851531645">
              <w:marLeft w:val="0"/>
              <w:marRight w:val="0"/>
              <w:marTop w:val="0"/>
              <w:marBottom w:val="0"/>
              <w:divBdr>
                <w:top w:val="none" w:sz="0" w:space="0" w:color="auto"/>
                <w:left w:val="none" w:sz="0" w:space="0" w:color="auto"/>
                <w:bottom w:val="none" w:sz="0" w:space="0" w:color="auto"/>
                <w:right w:val="none" w:sz="0" w:space="0" w:color="auto"/>
              </w:divBdr>
            </w:div>
          </w:divsChild>
        </w:div>
        <w:div w:id="1648634151">
          <w:marLeft w:val="0"/>
          <w:marRight w:val="0"/>
          <w:marTop w:val="0"/>
          <w:marBottom w:val="0"/>
          <w:divBdr>
            <w:top w:val="none" w:sz="0" w:space="0" w:color="auto"/>
            <w:left w:val="none" w:sz="0" w:space="0" w:color="auto"/>
            <w:bottom w:val="none" w:sz="0" w:space="0" w:color="auto"/>
            <w:right w:val="none" w:sz="0" w:space="0" w:color="auto"/>
          </w:divBdr>
          <w:divsChild>
            <w:div w:id="12087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sChild>
        <w:div w:id="335034354">
          <w:marLeft w:val="0"/>
          <w:marRight w:val="0"/>
          <w:marTop w:val="0"/>
          <w:marBottom w:val="0"/>
          <w:divBdr>
            <w:top w:val="none" w:sz="0" w:space="0" w:color="auto"/>
            <w:left w:val="none" w:sz="0" w:space="0" w:color="auto"/>
            <w:bottom w:val="none" w:sz="0" w:space="0" w:color="auto"/>
            <w:right w:val="none" w:sz="0" w:space="0" w:color="auto"/>
          </w:divBdr>
          <w:divsChild>
            <w:div w:id="1055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33422429">
      <w:bodyDiv w:val="1"/>
      <w:marLeft w:val="0"/>
      <w:marRight w:val="0"/>
      <w:marTop w:val="0"/>
      <w:marBottom w:val="0"/>
      <w:divBdr>
        <w:top w:val="none" w:sz="0" w:space="0" w:color="auto"/>
        <w:left w:val="none" w:sz="0" w:space="0" w:color="auto"/>
        <w:bottom w:val="none" w:sz="0" w:space="0" w:color="auto"/>
        <w:right w:val="none" w:sz="0" w:space="0" w:color="auto"/>
      </w:divBdr>
      <w:divsChild>
        <w:div w:id="2122996403">
          <w:marLeft w:val="0"/>
          <w:marRight w:val="0"/>
          <w:marTop w:val="0"/>
          <w:marBottom w:val="0"/>
          <w:divBdr>
            <w:top w:val="none" w:sz="0" w:space="0" w:color="auto"/>
            <w:left w:val="none" w:sz="0" w:space="0" w:color="auto"/>
            <w:bottom w:val="none" w:sz="0" w:space="0" w:color="auto"/>
            <w:right w:val="none" w:sz="0" w:space="0" w:color="auto"/>
          </w:divBdr>
          <w:divsChild>
            <w:div w:id="2064064260">
              <w:marLeft w:val="0"/>
              <w:marRight w:val="0"/>
              <w:marTop w:val="0"/>
              <w:marBottom w:val="0"/>
              <w:divBdr>
                <w:top w:val="none" w:sz="0" w:space="0" w:color="auto"/>
                <w:left w:val="none" w:sz="0" w:space="0" w:color="auto"/>
                <w:bottom w:val="none" w:sz="0" w:space="0" w:color="auto"/>
                <w:right w:val="none" w:sz="0" w:space="0" w:color="auto"/>
              </w:divBdr>
              <w:divsChild>
                <w:div w:id="556863765">
                  <w:marLeft w:val="0"/>
                  <w:marRight w:val="0"/>
                  <w:marTop w:val="0"/>
                  <w:marBottom w:val="0"/>
                  <w:divBdr>
                    <w:top w:val="single" w:sz="24" w:space="0" w:color="E4A529"/>
                    <w:left w:val="none" w:sz="0" w:space="0" w:color="auto"/>
                    <w:bottom w:val="none" w:sz="0" w:space="0" w:color="auto"/>
                    <w:right w:val="none" w:sz="0" w:space="0" w:color="auto"/>
                  </w:divBdr>
                </w:div>
                <w:div w:id="1913735843">
                  <w:marLeft w:val="0"/>
                  <w:marRight w:val="0"/>
                  <w:marTop w:val="0"/>
                  <w:marBottom w:val="0"/>
                  <w:divBdr>
                    <w:top w:val="none" w:sz="0" w:space="0" w:color="auto"/>
                    <w:left w:val="none" w:sz="0" w:space="0" w:color="auto"/>
                    <w:bottom w:val="none" w:sz="0" w:space="0" w:color="auto"/>
                    <w:right w:val="none" w:sz="0" w:space="0" w:color="auto"/>
                  </w:divBdr>
                  <w:divsChild>
                    <w:div w:id="1787772480">
                      <w:marLeft w:val="0"/>
                      <w:marRight w:val="450"/>
                      <w:marTop w:val="0"/>
                      <w:marBottom w:val="0"/>
                      <w:divBdr>
                        <w:top w:val="none" w:sz="0" w:space="0" w:color="auto"/>
                        <w:left w:val="none" w:sz="0" w:space="0" w:color="auto"/>
                        <w:bottom w:val="none" w:sz="0" w:space="0" w:color="auto"/>
                        <w:right w:val="none" w:sz="0" w:space="0" w:color="auto"/>
                      </w:divBdr>
                    </w:div>
                  </w:divsChild>
                </w:div>
                <w:div w:id="672073031">
                  <w:marLeft w:val="0"/>
                  <w:marRight w:val="0"/>
                  <w:marTop w:val="0"/>
                  <w:marBottom w:val="150"/>
                  <w:divBdr>
                    <w:top w:val="none" w:sz="0" w:space="0" w:color="auto"/>
                    <w:left w:val="none" w:sz="0" w:space="0" w:color="auto"/>
                    <w:bottom w:val="none" w:sz="0" w:space="0" w:color="auto"/>
                    <w:right w:val="none" w:sz="0" w:space="0" w:color="auto"/>
                  </w:divBdr>
                  <w:divsChild>
                    <w:div w:id="16980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3800530">
          <w:marLeft w:val="0"/>
          <w:marRight w:val="0"/>
          <w:marTop w:val="0"/>
          <w:marBottom w:val="0"/>
          <w:divBdr>
            <w:top w:val="none" w:sz="0" w:space="0" w:color="auto"/>
            <w:left w:val="none" w:sz="0" w:space="0" w:color="auto"/>
            <w:bottom w:val="none" w:sz="0" w:space="0" w:color="auto"/>
            <w:right w:val="none" w:sz="0" w:space="0" w:color="auto"/>
          </w:divBdr>
          <w:divsChild>
            <w:div w:id="665473354">
              <w:marLeft w:val="0"/>
              <w:marRight w:val="0"/>
              <w:marTop w:val="0"/>
              <w:marBottom w:val="480"/>
              <w:divBdr>
                <w:top w:val="none" w:sz="0" w:space="0" w:color="auto"/>
                <w:left w:val="none" w:sz="0" w:space="0" w:color="auto"/>
                <w:bottom w:val="none" w:sz="0" w:space="0" w:color="auto"/>
                <w:right w:val="none" w:sz="0" w:space="0" w:color="auto"/>
              </w:divBdr>
            </w:div>
            <w:div w:id="867260768">
              <w:marLeft w:val="0"/>
              <w:marRight w:val="0"/>
              <w:marTop w:val="0"/>
              <w:marBottom w:val="900"/>
              <w:divBdr>
                <w:top w:val="none" w:sz="0" w:space="0" w:color="auto"/>
                <w:left w:val="none" w:sz="0" w:space="0" w:color="auto"/>
                <w:bottom w:val="none" w:sz="0" w:space="0" w:color="auto"/>
                <w:right w:val="none" w:sz="0" w:space="0" w:color="auto"/>
              </w:divBdr>
              <w:divsChild>
                <w:div w:id="1151680044">
                  <w:marLeft w:val="0"/>
                  <w:marRight w:val="0"/>
                  <w:marTop w:val="0"/>
                  <w:marBottom w:val="0"/>
                  <w:divBdr>
                    <w:top w:val="single" w:sz="6" w:space="8" w:color="D1D2D4"/>
                    <w:left w:val="none" w:sz="0" w:space="0" w:color="auto"/>
                    <w:bottom w:val="single" w:sz="6" w:space="6" w:color="D1D2D4"/>
                    <w:right w:val="none" w:sz="0" w:space="0" w:color="auto"/>
                  </w:divBdr>
                  <w:divsChild>
                    <w:div w:id="1724601271">
                      <w:marLeft w:val="0"/>
                      <w:marRight w:val="0"/>
                      <w:marTop w:val="0"/>
                      <w:marBottom w:val="0"/>
                      <w:divBdr>
                        <w:top w:val="none" w:sz="0" w:space="0" w:color="auto"/>
                        <w:left w:val="none" w:sz="0" w:space="0" w:color="auto"/>
                        <w:bottom w:val="none" w:sz="0" w:space="0" w:color="auto"/>
                        <w:right w:val="none" w:sz="0" w:space="0" w:color="auto"/>
                      </w:divBdr>
                      <w:divsChild>
                        <w:div w:id="1088961736">
                          <w:marLeft w:val="0"/>
                          <w:marRight w:val="0"/>
                          <w:marTop w:val="0"/>
                          <w:marBottom w:val="0"/>
                          <w:divBdr>
                            <w:top w:val="none" w:sz="0" w:space="0" w:color="auto"/>
                            <w:left w:val="none" w:sz="0" w:space="0" w:color="auto"/>
                            <w:bottom w:val="none" w:sz="0" w:space="0" w:color="auto"/>
                            <w:right w:val="none" w:sz="0" w:space="0" w:color="auto"/>
                          </w:divBdr>
                          <w:divsChild>
                            <w:div w:id="21388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95">
              <w:marLeft w:val="0"/>
              <w:marRight w:val="0"/>
              <w:marTop w:val="0"/>
              <w:marBottom w:val="0"/>
              <w:divBdr>
                <w:top w:val="none" w:sz="0" w:space="0" w:color="auto"/>
                <w:left w:val="none" w:sz="0" w:space="0" w:color="auto"/>
                <w:bottom w:val="none" w:sz="0" w:space="0" w:color="auto"/>
                <w:right w:val="none" w:sz="0" w:space="0" w:color="auto"/>
              </w:divBdr>
              <w:divsChild>
                <w:div w:id="1965769735">
                  <w:marLeft w:val="0"/>
                  <w:marRight w:val="0"/>
                  <w:marTop w:val="0"/>
                  <w:marBottom w:val="0"/>
                  <w:divBdr>
                    <w:top w:val="none" w:sz="0" w:space="0" w:color="auto"/>
                    <w:left w:val="none" w:sz="0" w:space="0" w:color="auto"/>
                    <w:bottom w:val="none" w:sz="0" w:space="0" w:color="auto"/>
                    <w:right w:val="none" w:sz="0" w:space="0" w:color="auto"/>
                  </w:divBdr>
                  <w:divsChild>
                    <w:div w:id="1753356479">
                      <w:marLeft w:val="0"/>
                      <w:marRight w:val="0"/>
                      <w:marTop w:val="0"/>
                      <w:marBottom w:val="0"/>
                      <w:divBdr>
                        <w:top w:val="none" w:sz="0" w:space="0" w:color="auto"/>
                        <w:left w:val="none" w:sz="0" w:space="0" w:color="auto"/>
                        <w:bottom w:val="none" w:sz="0" w:space="0" w:color="auto"/>
                        <w:right w:val="none" w:sz="0" w:space="0" w:color="auto"/>
                      </w:divBdr>
                      <w:divsChild>
                        <w:div w:id="237057858">
                          <w:marLeft w:val="-225"/>
                          <w:marRight w:val="-225"/>
                          <w:marTop w:val="0"/>
                          <w:marBottom w:val="0"/>
                          <w:divBdr>
                            <w:top w:val="none" w:sz="0" w:space="0" w:color="auto"/>
                            <w:left w:val="none" w:sz="0" w:space="0" w:color="auto"/>
                            <w:bottom w:val="none" w:sz="0" w:space="0" w:color="auto"/>
                            <w:right w:val="none" w:sz="0" w:space="0" w:color="auto"/>
                          </w:divBdr>
                          <w:divsChild>
                            <w:div w:id="2081905177">
                              <w:marLeft w:val="0"/>
                              <w:marRight w:val="0"/>
                              <w:marTop w:val="0"/>
                              <w:marBottom w:val="0"/>
                              <w:divBdr>
                                <w:top w:val="none" w:sz="0" w:space="0" w:color="auto"/>
                                <w:left w:val="none" w:sz="0" w:space="0" w:color="auto"/>
                                <w:bottom w:val="none" w:sz="0" w:space="0" w:color="auto"/>
                                <w:right w:val="none" w:sz="0" w:space="0" w:color="auto"/>
                              </w:divBdr>
                              <w:divsChild>
                                <w:div w:id="602033007">
                                  <w:marLeft w:val="-225"/>
                                  <w:marRight w:val="-225"/>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sChild>
                                        <w:div w:id="547226819">
                                          <w:marLeft w:val="0"/>
                                          <w:marRight w:val="0"/>
                                          <w:marTop w:val="0"/>
                                          <w:marBottom w:val="150"/>
                                          <w:divBdr>
                                            <w:top w:val="single" w:sz="18" w:space="0" w:color="7F7F7F"/>
                                            <w:left w:val="none" w:sz="0" w:space="0" w:color="auto"/>
                                            <w:bottom w:val="none" w:sz="0" w:space="0" w:color="auto"/>
                                            <w:right w:val="none" w:sz="0" w:space="0" w:color="auto"/>
                                          </w:divBdr>
                                          <w:divsChild>
                                            <w:div w:id="1274635859">
                                              <w:marLeft w:val="0"/>
                                              <w:marRight w:val="0"/>
                                              <w:marTop w:val="0"/>
                                              <w:marBottom w:val="0"/>
                                              <w:divBdr>
                                                <w:top w:val="none" w:sz="0" w:space="0" w:color="auto"/>
                                                <w:left w:val="none" w:sz="0" w:space="0" w:color="auto"/>
                                                <w:bottom w:val="none" w:sz="0" w:space="0" w:color="auto"/>
                                                <w:right w:val="none" w:sz="0" w:space="0" w:color="auto"/>
                                              </w:divBdr>
                                            </w:div>
                                          </w:divsChild>
                                        </w:div>
                                        <w:div w:id="659113850">
                                          <w:marLeft w:val="0"/>
                                          <w:marRight w:val="0"/>
                                          <w:marTop w:val="0"/>
                                          <w:marBottom w:val="0"/>
                                          <w:divBdr>
                                            <w:top w:val="none" w:sz="0" w:space="0" w:color="auto"/>
                                            <w:left w:val="none" w:sz="0" w:space="0" w:color="auto"/>
                                            <w:bottom w:val="none" w:sz="0" w:space="0" w:color="auto"/>
                                            <w:right w:val="none" w:sz="0" w:space="0" w:color="auto"/>
                                          </w:divBdr>
                                        </w:div>
                                        <w:div w:id="929241852">
                                          <w:marLeft w:val="0"/>
                                          <w:marRight w:val="0"/>
                                          <w:marTop w:val="0"/>
                                          <w:marBottom w:val="0"/>
                                          <w:divBdr>
                                            <w:top w:val="none" w:sz="0" w:space="0" w:color="auto"/>
                                            <w:left w:val="none" w:sz="0" w:space="0" w:color="auto"/>
                                            <w:bottom w:val="single" w:sz="18" w:space="0" w:color="7F7F7F"/>
                                            <w:right w:val="none" w:sz="0" w:space="0" w:color="auto"/>
                                          </w:divBdr>
                                        </w:div>
                                      </w:divsChild>
                                    </w:div>
                                  </w:divsChild>
                                </w:div>
                                <w:div w:id="1480147555">
                                  <w:marLeft w:val="-225"/>
                                  <w:marRight w:val="-225"/>
                                  <w:marTop w:val="450"/>
                                  <w:marBottom w:val="0"/>
                                  <w:divBdr>
                                    <w:top w:val="none" w:sz="0" w:space="0" w:color="auto"/>
                                    <w:left w:val="none" w:sz="0" w:space="0" w:color="auto"/>
                                    <w:bottom w:val="none" w:sz="0" w:space="0" w:color="auto"/>
                                    <w:right w:val="none" w:sz="0" w:space="0" w:color="auto"/>
                                  </w:divBdr>
                                  <w:divsChild>
                                    <w:div w:id="2138404945">
                                      <w:marLeft w:val="0"/>
                                      <w:marRight w:val="0"/>
                                      <w:marTop w:val="0"/>
                                      <w:marBottom w:val="0"/>
                                      <w:divBdr>
                                        <w:top w:val="none" w:sz="0" w:space="0" w:color="auto"/>
                                        <w:left w:val="none" w:sz="0" w:space="0" w:color="auto"/>
                                        <w:bottom w:val="none" w:sz="0" w:space="0" w:color="auto"/>
                                        <w:right w:val="none" w:sz="0" w:space="0" w:color="auto"/>
                                      </w:divBdr>
                                      <w:divsChild>
                                        <w:div w:id="495387844">
                                          <w:marLeft w:val="0"/>
                                          <w:marRight w:val="0"/>
                                          <w:marTop w:val="0"/>
                                          <w:marBottom w:val="150"/>
                                          <w:divBdr>
                                            <w:top w:val="single" w:sz="18" w:space="0" w:color="A8BF82"/>
                                            <w:left w:val="none" w:sz="0" w:space="0" w:color="auto"/>
                                            <w:bottom w:val="none" w:sz="0" w:space="0" w:color="auto"/>
                                            <w:right w:val="none" w:sz="0" w:space="0" w:color="auto"/>
                                          </w:divBdr>
                                          <w:divsChild>
                                            <w:div w:id="1938706758">
                                              <w:marLeft w:val="0"/>
                                              <w:marRight w:val="0"/>
                                              <w:marTop w:val="0"/>
                                              <w:marBottom w:val="0"/>
                                              <w:divBdr>
                                                <w:top w:val="none" w:sz="0" w:space="0" w:color="auto"/>
                                                <w:left w:val="none" w:sz="0" w:space="0" w:color="auto"/>
                                                <w:bottom w:val="none" w:sz="0" w:space="0" w:color="auto"/>
                                                <w:right w:val="none" w:sz="0" w:space="0" w:color="auto"/>
                                              </w:divBdr>
                                            </w:div>
                                          </w:divsChild>
                                        </w:div>
                                        <w:div w:id="1650745907">
                                          <w:marLeft w:val="0"/>
                                          <w:marRight w:val="0"/>
                                          <w:marTop w:val="0"/>
                                          <w:marBottom w:val="0"/>
                                          <w:divBdr>
                                            <w:top w:val="none" w:sz="0" w:space="0" w:color="auto"/>
                                            <w:left w:val="none" w:sz="0" w:space="0" w:color="auto"/>
                                            <w:bottom w:val="none" w:sz="0" w:space="0" w:color="auto"/>
                                            <w:right w:val="none" w:sz="0" w:space="0" w:color="auto"/>
                                          </w:divBdr>
                                        </w:div>
                                        <w:div w:id="1511916671">
                                          <w:marLeft w:val="0"/>
                                          <w:marRight w:val="0"/>
                                          <w:marTop w:val="0"/>
                                          <w:marBottom w:val="0"/>
                                          <w:divBdr>
                                            <w:top w:val="none" w:sz="0" w:space="0" w:color="auto"/>
                                            <w:left w:val="none" w:sz="0" w:space="0" w:color="auto"/>
                                            <w:bottom w:val="single" w:sz="18" w:space="0" w:color="A8BF82"/>
                                            <w:right w:val="none" w:sz="0" w:space="0" w:color="auto"/>
                                          </w:divBdr>
                                        </w:div>
                                      </w:divsChild>
                                    </w:div>
                                  </w:divsChild>
                                </w:div>
                              </w:divsChild>
                            </w:div>
                            <w:div w:id="318970055">
                              <w:marLeft w:val="795"/>
                              <w:marRight w:val="0"/>
                              <w:marTop w:val="0"/>
                              <w:marBottom w:val="0"/>
                              <w:divBdr>
                                <w:top w:val="none" w:sz="0" w:space="0" w:color="auto"/>
                                <w:left w:val="none" w:sz="0" w:space="0" w:color="auto"/>
                                <w:bottom w:val="none" w:sz="0" w:space="0" w:color="auto"/>
                                <w:right w:val="none" w:sz="0" w:space="0" w:color="auto"/>
                              </w:divBdr>
                              <w:divsChild>
                                <w:div w:id="733359424">
                                  <w:marLeft w:val="-225"/>
                                  <w:marRight w:val="-225"/>
                                  <w:marTop w:val="0"/>
                                  <w:marBottom w:val="0"/>
                                  <w:divBdr>
                                    <w:top w:val="none" w:sz="0" w:space="0" w:color="auto"/>
                                    <w:left w:val="none" w:sz="0" w:space="0" w:color="auto"/>
                                    <w:bottom w:val="none" w:sz="0" w:space="0" w:color="auto"/>
                                    <w:right w:val="none" w:sz="0" w:space="0" w:color="auto"/>
                                  </w:divBdr>
                                  <w:divsChild>
                                    <w:div w:id="1736198858">
                                      <w:marLeft w:val="0"/>
                                      <w:marRight w:val="0"/>
                                      <w:marTop w:val="0"/>
                                      <w:marBottom w:val="0"/>
                                      <w:divBdr>
                                        <w:top w:val="none" w:sz="0" w:space="0" w:color="auto"/>
                                        <w:left w:val="none" w:sz="0" w:space="0" w:color="auto"/>
                                        <w:bottom w:val="none" w:sz="0" w:space="0" w:color="auto"/>
                                        <w:right w:val="none" w:sz="0" w:space="0" w:color="auto"/>
                                      </w:divBdr>
                                    </w:div>
                                    <w:div w:id="1120221593">
                                      <w:marLeft w:val="0"/>
                                      <w:marRight w:val="0"/>
                                      <w:marTop w:val="0"/>
                                      <w:marBottom w:val="0"/>
                                      <w:divBdr>
                                        <w:top w:val="none" w:sz="0" w:space="0" w:color="auto"/>
                                        <w:left w:val="none" w:sz="0" w:space="0" w:color="auto"/>
                                        <w:bottom w:val="none" w:sz="0" w:space="0" w:color="auto"/>
                                        <w:right w:val="none" w:sz="0" w:space="0" w:color="auto"/>
                                      </w:divBdr>
                                      <w:divsChild>
                                        <w:div w:id="333383984">
                                          <w:marLeft w:val="0"/>
                                          <w:marRight w:val="0"/>
                                          <w:marTop w:val="0"/>
                                          <w:marBottom w:val="150"/>
                                          <w:divBdr>
                                            <w:top w:val="single" w:sz="18" w:space="0" w:color="7F7F7F"/>
                                            <w:left w:val="none" w:sz="0" w:space="0" w:color="auto"/>
                                            <w:bottom w:val="none" w:sz="0" w:space="0" w:color="auto"/>
                                            <w:right w:val="none" w:sz="0" w:space="0" w:color="auto"/>
                                          </w:divBdr>
                                          <w:divsChild>
                                            <w:div w:id="1066684379">
                                              <w:marLeft w:val="0"/>
                                              <w:marRight w:val="0"/>
                                              <w:marTop w:val="0"/>
                                              <w:marBottom w:val="0"/>
                                              <w:divBdr>
                                                <w:top w:val="none" w:sz="0" w:space="0" w:color="auto"/>
                                                <w:left w:val="none" w:sz="0" w:space="0" w:color="auto"/>
                                                <w:bottom w:val="none" w:sz="0" w:space="0" w:color="auto"/>
                                                <w:right w:val="none" w:sz="0" w:space="0" w:color="auto"/>
                                              </w:divBdr>
                                            </w:div>
                                          </w:divsChild>
                                        </w:div>
                                        <w:div w:id="1962686092">
                                          <w:marLeft w:val="0"/>
                                          <w:marRight w:val="0"/>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355391">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27756517">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443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67334">
          <w:marLeft w:val="0"/>
          <w:marRight w:val="0"/>
          <w:marTop w:val="0"/>
          <w:marBottom w:val="0"/>
          <w:divBdr>
            <w:top w:val="none" w:sz="0" w:space="0" w:color="auto"/>
            <w:left w:val="none" w:sz="0" w:space="0" w:color="auto"/>
            <w:bottom w:val="none" w:sz="0" w:space="0" w:color="auto"/>
            <w:right w:val="none" w:sz="0" w:space="0" w:color="auto"/>
          </w:divBdr>
        </w:div>
      </w:divsChild>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0971295">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25728995">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deralregister.gov/documents/2020/08/28/2020-19010/proposed-data-collection-submitted-for-public-comment-and-recommendations" TargetMode="External"/><Relationship Id="rId18" Type="http://schemas.openxmlformats.org/officeDocument/2006/relationships/hyperlink" Target="mailto:andrew.david@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omb@cdc.gov" TargetMode="External"/><Relationship Id="rId17" Type="http://schemas.openxmlformats.org/officeDocument/2006/relationships/hyperlink" Target="mailto:samantha.decarlo@usitc.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ederalregister.gov/documents/2020/08/28/2020-18985/vaccines-and-related-biological-products-advisory-committee-notice-of-meet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guide/pa-files/PAR-20-297.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onique.hill@fda.hhs.gov" TargetMode="External"/><Relationship Id="rId23" Type="http://schemas.openxmlformats.org/officeDocument/2006/relationships/footer" Target="footer2.xml"/><Relationship Id="rId10" Type="http://schemas.openxmlformats.org/officeDocument/2006/relationships/hyperlink" Target="https://www.grants.gov/web/grants/view-opportunity.html?oppId=328860" TargetMode="External"/><Relationship Id="rId19" Type="http://schemas.openxmlformats.org/officeDocument/2006/relationships/hyperlink" Target="https://www.federalregister.gov/documents/2020/08/26/2020-18796/covid-19-related-goods-the-us-industry-market-trade-and-supply-chain-challenges-notice-o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Prabhakara.Atreya@fda.hhs.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BC2C-8D89-284E-BA72-12C6A5A8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Verheggen</dc:creator>
  <cp:keywords/>
  <dc:description/>
  <cp:lastModifiedBy>Phillip Harman</cp:lastModifiedBy>
  <cp:revision>2</cp:revision>
  <cp:lastPrinted>2015-09-06T01:27:00Z</cp:lastPrinted>
  <dcterms:created xsi:type="dcterms:W3CDTF">2020-09-01T12:38:00Z</dcterms:created>
  <dcterms:modified xsi:type="dcterms:W3CDTF">2020-09-01T12:38:00Z</dcterms:modified>
</cp:coreProperties>
</file>